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34 vom 11. Januar 2017</w:t>
      </w:r>
    </w:p>
    <w:p>
      <w:r>
        <w:t>VD Tribunal cantonal, 2017-01-11, FR</w:t>
      </w:r>
    </w:p>
    <w:p>
      <w:r>
        <w:rPr>
          <w:b/>
        </w:rPr>
        <w:t xml:space="preserve">Quelle: </w:t>
      </w:r>
      <w:r>
        <w:t>https://mcp.opencaselaw.ch/entscheid/vd_findinfo_D_cision___2017___34</w:t>
      </w:r>
    </w:p>
    <w:p>
      <w:r>
        <w:t>FR: VD_FINDINFO Décision / 2017 / 34 du 11 janvier 2017</w:t>
      </w:r>
    </w:p>
    <w:p>
      <w:r>
        <w:t>IT: VD_FINDINFO Décision / 2017 / 34 del 11 gennaio 2017</w:t>
      </w:r>
    </w:p>
    <w:p>
      <w:pPr>
        <w:pStyle w:val="Heading2"/>
      </w:pPr>
      <w:r>
        <w:t>Regeste</w:t>
      </w:r>
    </w:p>
    <w:p>
      <w:r>
        <w:t>ENTREPRISE, INTERNATIONAL, FOURNISSEUR DE SERVICES DE TÉLÉCOMMUNICATION, INTERNET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ch. 27 ad art. 107 LTF; CREP 23 avril 2012/197).</w:t>
      </w:r>
    </w:p>
    <w:p>
      <w:r>
        <w:rPr>
          <w:b/>
        </w:rPr>
        <w:t>E. 2</w:t>
      </w:r>
    </w:p>
    <w:p>
      <w:r>
        <w:t>Dans son arrêt du 16 novembre 2016, le Tribunal fédéral a considéré que la cause devait être instruite plus avant par l’autorité cantonale quant à savoir si la société suisse N.________ avait un accès direct ou une quelconque maîtrise sur les données relatives au service de messagerie, soit si elle était le possesseur ou le détenteur des données visées, ou tout au moins en avait le contrôle, c'est-à-dire avait un pouvoir de disposition, en fait et en droit, sur ces données au sens de la Convention de Budapest sur la cyber-criminalité (RS 0.311.43) ou de l’art. 265 CPP (consid. 3.6). Le Tribunal fédéral a ajouté que les recourants devront collaborer à l'administration des preuves à ce propos s'ils entendent démontrer qu'ils n'ont aucun accès aux renseignements requis ou qu'ils engageraient, pénalement ou civilement, leur responsabilité en donnant suite à l'ordre de production (art. 265 al. 2 let. c CPP) et que, s'il devait apparaître que la société suisse ne peut effectivement pas, en fait ou en droit, disposer des données requises par le Ministère public, celui-ci n'aura d'autre choix que de s'adresser par voie d'entraide judiciaire aux autorités américaines pour obtenir les renseignements désirés (ibid., avec réf. à ATF 141 IV 108 consid. 5.3 p. 212).</w:t>
      </w:r>
    </w:p>
    <w:p>
      <w:r>
        <w:rPr>
          <w:b/>
        </w:rPr>
        <w:t>E. 3</w:t>
      </w:r>
    </w:p>
    <w:p>
      <w:r>
        <w:t>Comme cela découle des considérants de l’arrêt du Tribunal fédéral, il appartient au Ministère public de poursuivre l’instruction de la cause afin de déterminer si N.________ est le possesseur ou le détenteur des données visées au sens de la Convention de Budapest ou de l’art. 265 CPP, ce en ordonnant la production de toutes pièces utiles en main des recourants, tenus de collaborer à l'administration des preuves comme énoncé par l’arrêt, avant qu’une éventuelle requête d'entraide judiciaire ne soit adressée aux autorités américaines. Le dossier doit être retourné au Parquet à cette fin. Il n’appartient pas à la Cour de céans, à ce stade de la procédure, d’apprécier la pertinence des offres et réquisitions de preuve des parties.</w:t>
      </w:r>
    </w:p>
    <w:p>
      <w:r>
        <w:rPr>
          <w:b/>
        </w:rPr>
        <w:t>E. 4</w:t>
      </w:r>
    </w:p>
    <w:p>
      <w:r>
        <w:t>En définitive, le recours doit être admis et l’ordonnance de production de pièces du 31 août 2015 annulée, la cause étant renvoyée au Ministère public central, Division affaires spéciales, afin qu’il procède dans le sens des considérants qui précèdent. Les frais du présent arrêt, par 770 fr. (art. 20 al. 1 TFIP [Tarif des frais de procédure et indemnités en matière pénale; RSV 312.03.1]), seront laissés à la charge de l’Etat (art. 423 al. 1 CPP). Les recourants obtenant gain de cause, les frais de l’arrêt du 2 mars 2016 annulé par le Tribunal fédéral seront également laissés à la charge de l’Etat (cf. art. 428 al. 4 CPP; CREP 12 février 2016/106; CREP 11 décembre 2015/815). Enfin, les recourants consorts, qui ont procédé avec l’assistance d’avocats de choix, ont droit à une indemnité pour les dépenses occasionnées par la procédure de recours (art. 434 al. 1 CPP, par renvoi de l’art. 436 al. 1 CPP), solidairement entre eux, à la charge de l’Etat. Cette indemnité sera fixée à 2'000 fr., au titre des honoraires et des débours de leurs mandataires, y compris un montant correspondant à la TVA. Elle couvre les dépenses occasionnées par les procédés antérieurs à l’arrêt du 2 mars 2016 (essentiellement un recours de 12 pages, y compris la page de garde), ainsi que par les opérations effectuées en reprise de cause cantonale (deux déterminations d’une page chacune), à hauteur de six heures d’activité au total pour les deux mandataires, au tarif horaire de 300 fr. (art. 26a al. 3 TFIP), en plus de 50 fr. de débours. Par ces motifs, la Chambre des recours pénale prononce : I. Le recours est admis. II. L’ordonnance du 31 août 2015 est annulée. III. La cause est renvoyée au Ministère public central, Division affaires spéciales, afin qu’il procède dans le sens des considérants. IV. Les frais du présent arrêt, par 770 fr. (sept cent septante francs), ainsi que les frais de l’arrêt du 2 mars 2016, par 990 fr. (neuf cent nonante francs), sont laissés à la charge de l’Etat. V. Une indemnité de 2'000 fr. (deux mille francs) est allouée à N.________, B.________ et V.________, solidairement entre eux, pour la procédure de recours, à la charge de l’Etat. VI. L’arrêt est exécutoire. Le président :               Le greffier : Du Le présent arrêt, dont la rédaction a été approuvée à huis clos, est notifié, par l'envoi d'une copie complète, à : - Mes Ralph Schlosser et Maud Fragnière, avocats (pour N.________, B.________ et V.________),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