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323 vom 2. Mai 2017</w:t>
      </w:r>
    </w:p>
    <w:p>
      <w:r>
        <w:t>VD Tribunal cantonal, 2017-05-02, FR</w:t>
      </w:r>
    </w:p>
    <w:p>
      <w:r>
        <w:rPr>
          <w:b/>
        </w:rPr>
        <w:t xml:space="preserve">Quelle: </w:t>
      </w:r>
      <w:r>
        <w:t>https://mcp.opencaselaw.ch/entscheid/vd_findinfo_D_cision___2017___323</w:t>
      </w:r>
    </w:p>
    <w:p>
      <w:r>
        <w:t>FR: VD_FINDINFO Décision / 2017 / 323 du 2 mai 2017</w:t>
      </w:r>
    </w:p>
    <w:p>
      <w:r>
        <w:t>IT: VD_FINDINFO Décision / 2017 / 323 del 2 maggio 2017</w:t>
      </w:r>
    </w:p>
    <w:p>
      <w:pPr>
        <w:pStyle w:val="Heading2"/>
      </w:pPr>
      <w:r>
        <w:t>Regeste</w:t>
      </w:r>
    </w:p>
    <w:p>
      <w:r>
        <w:t>LIBÉRATION CONDITIONNELLE, MESURE{DROIT PÉNAL} | 65 CP, 86 al. 1 CP, 38 LEP</w:t>
      </w:r>
    </w:p>
    <w:p>
      <w:pPr>
        <w:pStyle w:val="Heading2"/>
      </w:pPr>
      <w:r>
        <w:t>Erwägungen</w:t>
      </w:r>
    </w:p>
    <w:p>
      <w:r>
        <w:rPr>
          <w:b/>
        </w:rPr>
        <w:t>E. 1</w:t>
      </w:r>
    </w:p>
    <w:p>
      <w:r>
        <w:t>CP), qu’il ait commis un crime ou un délit en relation avec ce trouble (art. 59 al. 1 let. a CP) et qu’il soit à prévoir que la mesure le détournera de nouvelles infractions en relation avec ce trouble (art. 59 al. 1 let. b CP) (cf. Dupuis et al., Petit commentaire du Code pénal, Bâle 2012, nn. 3, 8, 11 et 12 ad art. 59 CP) –, sont réunies (art. 364 al. 3 CPP). Une telle décision pourra être rendue sans audience (art. 365 CPP), après que la personne concernée ait eu l’occasion de s’exprimer (art. 364 al. 3 CPP). Le recourant pourra donc faire valoir ses griefs devant le juge du fond ainsi que, le cas échéant, dans le cadre d’un recours dirigé contre la décision qui sera rendue. Dès lors, la décision du Juge d’application des peines n’est pas de nature à causer un préjudice irréparable au recourant. En conséquence, le recours en tant qu’il porte sur la décision du Juge d’application des peines de saisir le Tribunal d’arrondissement de Lausanne est irrecevable. (CREP 11 décembre 2013/724 consid. 1c).</w:t>
      </w:r>
    </w:p>
    <w:p>
      <w:r>
        <w:rPr>
          <w:b/>
        </w:rPr>
        <w:t>E. 1.1</w:t>
      </w:r>
    </w:p>
    <w:p>
      <w:r>
        <w:t>En vertu de l’art. 38 al. 1 LEP, les décisions rendues par le juge d'application des peines et par le collège des juges d'application des peines peuvent faire l'objet d'un recours auprès du Tribunal cantonal. La procédure est régie par les dispositions du Code de procédure pénale suisse du 5 octobre 2007 (CPP;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RSV 312.01]; art. 80 LOJV [loi d’organisation judiciaire, RSV 173.01]).</w:t>
      </w:r>
    </w:p>
    <w:p>
      <w:r>
        <w:rPr>
          <w:b/>
        </w:rPr>
        <w:t>E. 1.2</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Parmi ces décisions figurent celles relatives à la libération conditionnelle (art. 26 LEP).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11 décembre 2013/724 consid. 1b ; CREP 20 septembre 2013/558 consid. 1 et les réf. cit.; CREP 30 septembre 2013/572 ; cf. aussi TF 6B_1224/2013, 6B71/2014 du 17 mars 2014).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w:t>
      </w:r>
    </w:p>
    <w:p>
      <w:r>
        <w:rPr>
          <w:b/>
        </w:rPr>
        <w:t>E. 1.3</w:t>
      </w:r>
    </w:p>
    <w:p>
      <w:r>
        <w:t>En l'espèce, le recours est notamment dirigé contre la décision du Juge d’application des peines de saisir le Tribunal d’arrondissement de Lausanne en vue de l’examen du prononcé d’une mesure en application de l’art. 65 CP à l’endroit de P.________. Il s’agit d’une décision rendue dans le cadre de l’instruction. Il appartiendra en effet au Tribunal saisi d’examiner si les conditions du prononcé d’une mesure, sous la forme d’un internement prononcé a posteriori en application de l’art. 65 al. 2 CP – qui suppose que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 ou sous la forme d’une mesure thérapeutique institutionnelle prononcée en application de l’art. 65 al. 1 CP – qui suppose que l’auteur souffre d’un grave trouble mental (art. 59 al.</w:t>
      </w:r>
    </w:p>
    <w:p>
      <w:r>
        <w:rPr>
          <w:b/>
        </w:rPr>
        <w:t>E. 1.4</w:t>
      </w:r>
    </w:p>
    <w:p>
      <w:r>
        <w:t>En revanche, le recours est recevable en tant qu’il porte sur le refus de la libération conditionnelle au recourant. Il a en outre été interjeté en temps utile devant l’autorité compétente et satisfait aux conditions de forme posées par l’art. 385 al. 1 CPP, de sorte qu’il y a lieu d’entrer en matière.</w:t>
      </w:r>
    </w:p>
    <w:p>
      <w:r>
        <w:rPr>
          <w:b/>
        </w:rPr>
        <w:t>E. 2.1.1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précité consid. 2.3).</w:t>
      </w:r>
    </w:p>
    <w:p>
      <w:r>
        <w:rPr>
          <w:b/>
        </w:rPr>
        <w:t>E. 2.1.2</w:t>
      </w:r>
    </w:p>
    <w:p>
      <w:r>
        <w:t>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6B_825/2011 du 8 mai 2012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rPr>
          <w:b/>
        </w:rPr>
        <w:t>E. 2.2</w:t>
      </w:r>
    </w:p>
    <w:p>
      <w:r>
        <w:t>En l’espèce, la condition objective des deux tiers de la peine prévue par l'art. 86 al. 1 CP est réalisée. On peut se demander si la condition du bon comportement du recourant en détention est également réalisée, dès lors qu’une instruction a été ouverte contre lui pour infraction à la Loi fédérale sur les stupéfiants. Cette question peut toutefois rester indécise, dans la mesure où la libération conditionnelle doit de toute manière être refusée au recourant, le pronostic quant à son comportement futur étant clairement défavorable, comme on le verra ci-après. Dans leur rapport d’évaluation criminologique, les évaluateurs ont relevé qu’au vu du peu d’évolution sur le plan introspectif, ainsi qu’en termes de gestion de la récidive depuis la dernière évaluation, l’élargissement progressif de cadre, par le biais d’un passage en secteur ouvert de la Colonie, pouvait a minima permettre au recourant de démontrer sa stabilité en vue de sa réintégration progressive dans la société. De même, dans son avis du 31 mai 2016, la CIC a souscrit à la proposition d’un programme progressif d’élargissements évalués, dans la perspective d’un parcours de réinsertion soigneusement encadré et accompagné, fondé sur les capacités du recourant à nouer une alliance de confiance avec une figure d’autorité bien identifiée. Toutefois, le plan d’exécution de sanctions, qui prévoyait notamment un programme progressif d’élargissements évalués, n’a pas pu être mis en œuvre en raison de l’ouverture d’une instruction pénale contre le recourant pour infraction grave à la loi fédérale sur les stupéfiants. L’intéressé n’a ainsi pas pu être testé dans le cadre d’un élargissement de régime. Compte tenu du risque non négligeable de récidive, de l’importance des biens juridiques à protéger et de la trop faible évolution du recourant relative à sa prise de conscience de la gravité de ses actes, à son introspection et à son amendement, la Cour de céans est d’avis, à l’instar de l’OEP, qu’il convient de tester l’intéressé dans le cadre d’éventuels élargissements de régime, avant de pouvoir envisager une libération conditionnelle. Au vu de ce qui précède, le pronostic quant au comportement futur du recourant est clairement défavorable, de sorte que la libération conditionnelle doit lui être refusée.</w:t>
      </w:r>
    </w:p>
    <w:p>
      <w:r>
        <w:rPr>
          <w:b/>
        </w:rPr>
        <w:t>E. 3</w:t>
      </w:r>
    </w:p>
    <w:p>
      <w:r>
        <w:t>Il résulte de ce qui précède que le recours doit être rejeté dans la mesure où il est recevable, l’ordonnance attaquée confirmée et le dossier de la cause transmis au Tribunal d’arrondissement de Lausanne.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3 avril 2017 est confirmée. III. Le dossier de la cause est transmis au Tribunal d’arrondissement de Lausanne. IV. L’indemnité allouée au défenseur d’office de P.________ est fixée à 583 fr. 20 (cinq cent huitante-trois francs et vingt centimes). V. Les frais d’arrêt, par 1'540 fr. (mille cinq cent quarante francs), ainsi que l'indemnité due au défenseur d'office de P.________, par 583 fr. 20 (cinq cent huitante-trois francs et vingt centimes), sont mis à la charge de ce dernier. VI. Le remboursement à l'Etat de l'indemnité allouée au chiffre IV ci-dessus ne sera exigible que pour autant que la situation économique de P.________ se soit améliorée. VII. L’arrêt est exécutoire. Le président :               La greffière : Du Le présent arrêt, dont la rédaction a été approuvée à huis clos, est notifié, par l'envoi d'une copie complète, à : - Me Jean Lob, avocat (pour P.________), - Ministère public central ; et communiqué à : - Mme la Juge d’application des peines, - Mme la Procureure de l’arrondissement de Lausanne, - M. le Président du Tribunal d’arrondissement de Lausanne, - Office d’exécution des peines (réf. : OEP/PPL/67968/VRI/AMO), - Direction des Etablissements de Bellechasse,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