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314 vom 17. März 2017</w:t>
      </w:r>
    </w:p>
    <w:p>
      <w:r>
        <w:t>VD Tribunal cantonal, 2017-03-17, FR</w:t>
      </w:r>
    </w:p>
    <w:p>
      <w:r>
        <w:rPr>
          <w:b/>
        </w:rPr>
        <w:t xml:space="preserve">Quelle: </w:t>
      </w:r>
      <w:r>
        <w:t>https://mcp.opencaselaw.ch/entscheid/vd_findinfo_D_cision___2017___314</w:t>
      </w:r>
    </w:p>
    <w:p>
      <w:r>
        <w:t>FR: VD_FINDINFO Décision / 2017 / 314 du 17 mars 2017</w:t>
      </w:r>
    </w:p>
    <w:p>
      <w:r>
        <w:t>IT: VD_FINDINFO Décision / 2017 / 314 del 17 marzo 2017</w:t>
      </w:r>
    </w:p>
    <w:p>
      <w:pPr>
        <w:pStyle w:val="Heading2"/>
      </w:pPr>
      <w:r>
        <w:t>Regeste</w:t>
      </w:r>
    </w:p>
    <w:p>
      <w:r>
        <w:t>NON-LIEU, DOMMAGES À LA PROPRIÉTÉ{DROIT PÉNAL} | 144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le plaignant qui a qualité pour recourir (art. 382 al. 1 CPP), le recours est recevable.</w:t>
      </w:r>
    </w:p>
    <w:p>
      <w:r>
        <w:rPr>
          <w:b/>
        </w:rPr>
        <w:t>E. 2</w:t>
      </w:r>
    </w:p>
    <w:p>
      <w:r>
        <w:t>Le recourant s’étonne d’avoir reçu l’ordonnance de non-entrée en matière par courrier postal A et demande si un tel envoi est régulier. Sur ce point, la Cour de céans lui donne acte qu’à la rigueur de la loi l’ordonnance attaquée aurait dû lui être communiquée par pli recommandé, conformément à l’art. 85 al. 2 CPP. Cela n’entraîne toutefois aucune conséquence dans la mesure où le recourant a pu valablement sauvegarder ses droits (TF 1B_90/2016 du 8 septembre 2016 consid. 1.2).</w:t>
      </w:r>
    </w:p>
    <w:p>
      <w:r>
        <w:rPr>
          <w:b/>
        </w:rPr>
        <w:t>E. 3.1</w:t>
      </w:r>
    </w:p>
    <w:p>
      <w:r>
        <w:t>Le recourant conclut à l’annulation de l’ordonnance attaquée, soutenant implicitement que le Procureur aurait méconnu la réalisation de l’infraction de dommages à la propriété. A ses dires, plusieurs dégâts auraient été causés par un objet tranchant.</w:t>
      </w:r>
    </w:p>
    <w:p>
      <w:r>
        <w:rPr>
          <w:b/>
        </w:rPr>
        <w:t>E. 3.2.1</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 Une ordonnance de non-entrée en matière sera rendue dans les cas où il apparaît d’emblée qu’aucun acte d’enquête ne pourra apporter la preuve d’une infraction à la charge d’une personne déterminée (cf. TF 1B_67/2012 du 29 mai 2012 consid. 3.2).</w:t>
      </w:r>
    </w:p>
    <w:p>
      <w:r>
        <w:rPr>
          <w:b/>
        </w:rPr>
        <w:t>E. 3.2.2</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 Petit commentaire du Code pénal, Bâle 2012, n. 16 ad art. 144 CP et les références citées ; Corboz, Les infractions en droit suisse, vol. I, 3 e éd., Berne 2010, n. 23 ad art. 144 CP).</w:t>
      </w:r>
    </w:p>
    <w:p>
      <w:r>
        <w:rPr>
          <w:b/>
        </w:rPr>
        <w:t>E. 3.3</w:t>
      </w:r>
    </w:p>
    <w:p>
      <w:r>
        <w:t>En l’espèce, s’il est constant que le locataire a laissé son logement dans un état déplorable, aucun élément ne permet de retenir une intention de causer des dégâts. En particulier, ni les photographies dont se prévaut le recourant – lesquelles ne font pas état de trace d’un objet tranchant de style cutter, contrairement à ce qu’il soutient –, ni le constat d’urgence établi par un juge de paix ne permettent de retenir une intention délictueuse. Faute d’élément subjectif, l’infraction de dommages à la propriété au sens de l’art. 144 CP ne peut pas entrer en ligne de compte. Comme le relève le Procureur, le litige qui oppose le plaignant à son ancien locataire est donc exclusivement de nature civile. C’est dès lors à bon droit que le Procureur a refusé l’entrée en matière sur la plainte de O.________.</w:t>
      </w:r>
    </w:p>
    <w:p>
      <w:r>
        <w:rPr>
          <w:b/>
        </w:rPr>
        <w:t>E. 4</w:t>
      </w:r>
    </w:p>
    <w:p>
      <w:r>
        <w:t>Manifestement mal fondé, le recours doit être rejeté sans autre échange d’écritures (art. 390 al. 2 CPP) et l’ordonnance attaquée confirmée. Les frais de la procédure de recours, constitués en l'espèce du seul émolument d'arrêt, par 550 fr. (art. 20 al. 1 TFIP [tarif des frais de procédure et indemnités en matière pénale; RSV 312.03.1]), seront mis à la charge du recourant, qui succombe (art. 428 al. 1 CPP). Ils seront entièrement compensés avec les sûretés fournies (art. 383 al. 1 CPP ; art. 7 TFIP). Par ces motifs, la Chambre des recours pénale prononce : I. Le recours est rejeté. II. L’ordonnance du 2 mars 2017 est confirmée. III. Les frais de la procédure de recours, par 550 fr. (cinq cent cinquante francs), sont mis à la charge de O.________. IV. Les frais mis à la charge de O.________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O.________, -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