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304 vom 24. April 2017</w:t>
      </w:r>
    </w:p>
    <w:p>
      <w:r>
        <w:t>VD Tribunal cantonal, 2017-04-24, FR</w:t>
      </w:r>
    </w:p>
    <w:p>
      <w:r>
        <w:rPr>
          <w:b/>
        </w:rPr>
        <w:t xml:space="preserve">Quelle: </w:t>
      </w:r>
      <w:r>
        <w:t>https://mcp.opencaselaw.ch/entscheid/vd_findinfo_D_cision___2017___304</w:t>
      </w:r>
    </w:p>
    <w:p>
      <w:r>
        <w:t>FR: VD_FINDINFO Décision / 2017 / 304 du 24 avril 2017</w:t>
      </w:r>
    </w:p>
    <w:p>
      <w:r>
        <w:t>IT: VD_FINDINFO Décision / 2017 / 304 del 24 aprile 2017</w:t>
      </w:r>
    </w:p>
    <w:p>
      <w:pPr>
        <w:pStyle w:val="Heading2"/>
      </w:pPr>
      <w:r>
        <w:t>Regeste</w:t>
      </w:r>
    </w:p>
    <w:p>
      <w:r>
        <w:t>OPPOSITION TARDIVE, FICTION DE LA NOTIFICATION, ORDONNANCE PÉNALE | 356 al. 2 CPP (CH), 85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(TF 6B_1088/2013 du 12 mai 2014 consid. 1.2 ; TF 6B_314/2012 du 18 février 2013 consid. 1.2 ;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 TF 6B_158/2012 du 27 juillet 2012 consid 2.1 ; Schmid, Schweizerische Strafprozessordnung [StPO], Praxiskommentar, 2 e éd., 2013, n° 9 ad art. 85 CPP ; Moreillon/Parein-Reymond, Petit Commentaire du Code de procédure pénale, 2 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 TF 6B_704/2015 du 16 février 2016 consid. 2.3).</w:t>
      </w:r>
    </w:p>
    <w:p>
      <w:r>
        <w:rPr>
          <w:b/>
        </w:rPr>
        <w:t>E. 3.1</w:t>
      </w:r>
    </w:p>
    <w:p>
      <w:r>
        <w:t>Le recourant fait valoir que lors de son interpellation le 26 septembre 2016 à St-Cergue, alors qu’il effectuait des travaux de peinture chez une amie ( [...]) de son amie (G.________) – selon lui pour rendre service et non pour exercer une activité lucrative sans autorisation –, il a indiqué qu’il logeait durant son séjour en Suisse chez G.________, à [...], et a également communiqué son adresse en République de Macédoine. Ayant pris note à cette occasion qu’il devait quitter la Suisse avant le 27 novembre 2016, il serait retourné dans son pays d’origine. Il soutient ainsi que tant la police que le Ministère public savaient qu’il ne serait plus en Suisse après le 26 novembre 2016. Il n’aurait pris connaissance de l’ordonnance pénale que sur la base d’un courrier du Service de la population qui lui a été adressé le 23 février 2017 chez G.________, à [...], courrier dont il n’aurait eu connaissance que le 6 mars 2017. Le recourant soutient qu’en notifiant l’ordonnance pénale à l’adresse de son amie, le Ministère public savait qu’il ne pourrait pas en prendre connaissance, puisque dans la mesure où le pli était envoyé avec la mention « p. a. », le facteur ne pouvait que déposer l’avis de retrait dans la boîte aux lettres, sans pour autant qu’il puisse ensuite être retiré. Le recourant ajoute enfin que dans tous les cas, le délai d’opposition aurait dû lui être restitué, dans la mesure où il aurait été empêché sans faute de sa part d’agir avant le 15 mars 2017.</w:t>
      </w:r>
    </w:p>
    <w:p>
      <w:r>
        <w:rPr>
          <w:b/>
        </w:rPr>
        <w:t>E. 3.2</w:t>
      </w:r>
    </w:p>
    <w:p>
      <w:r>
        <w:t>L’argumentation du recourant tombe à faux. Il ne conteste pas qu’il devait s’attendre à recevoir des communications de la part des autorités pénales. En effet, entendu par la Police le 26 septembre 2016, il a été informé de ses droits et obligations découlant de sa qualité de prévenu et a signé le formulaire l'avertissant qu'une procédure pénale était ouverte contre lui et qu’il était tenu de désigner une personne en Suisse pour recevoir à sa place toutes correspondances, avis de procédures ou décisions concernant cette affaire. Il s'ensuit qu'il devait prendre les mesures appropriées pour que toute suite utile puisse être donnée, en son absence, à un envoi judiciaire le concernant. En l'occurrence, l’ordonnance pénale envoyée à l’adresse en Suisse qu’il a indiquée – qui valait désignation d’un domicile de notification en Suisse au sens de l’art. 87 al. 2 CPP, conformément aux informations qui lui avaient été données – est donc réputée avoir été notifiée au recourant à l’échéance du délai de garde, soit le 18 janvier 2017 (art. 85 al. 4 let. a CPP). En effet, le recourant devait faire le nécessaire pour que son amie, à qui il pouvait donner procuration, puisse prendre connaissance des décisions qui lui seraient adressées. Par conséquent, le recourant disposait d'un délai au 30 janvier 2017 au plus tard pour faire opposition. Formée le 15 mars 2017, l'opposition était manifestement tardive.</w:t>
      </w:r>
    </w:p>
    <w:p>
      <w:r>
        <w:rPr>
          <w:b/>
        </w:rPr>
        <w:t>E. 3.3</w:t>
      </w:r>
    </w:p>
    <w:p>
      <w:r>
        <w:t>Pour le surplus, la restitution de délai sollicitée à titre subsidiaire du Ministère public (P. 7) n’était pas de la compétence du Tribunal de police, mais devra être traitée par le Ministère public ensuite du prononcé de l’irrecevabilité de l’opposition. En effet, selon la jurisprudence du Tribunal fédéral, la question de la restitution du délai d'opposition contre une ordonnance pénale ne se pose que si l'intéressé a été empêché de l'observer. Cela présuppose que le délai d'opposition ait expiré avant que l'opposition soit formée. Cela présuppose à son tour que l'ordonnance ait été valablement notifiée ou réputée notifiée (cf.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(ATF 142 IV 201 consid. 2 et les références citées ; TF 6B_1118/2015 du 30 juin 2016 consid. 1.1).</w:t>
      </w:r>
    </w:p>
    <w:p>
      <w:r>
        <w:rPr>
          <w:b/>
        </w:rPr>
        <w:t>E. 4</w:t>
      </w:r>
    </w:p>
    <w:p>
      <w:r>
        <w:t>En définitive, le recours, manifestement mal fondé, doit être rejeté sans autres échanges d’écritures (art. 390 al. 2 CPP) et le prononcé du 29 mars 2017 confirmé.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par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29 mars 2017 est confirmé. III. L’indemnité allouée au défenseur d’office du recourant est fixée à 583 fr. 20 (cinq cent huitante-trois francs et vingt centimes). IV. Les frais d’arrêt, par 770 fr. (sept cent septante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L’arrêt est exécutoire. Le président :               La greffière : Du Le présent arrêt, dont la rédaction a été approuvée à huis clos, est notifié, par l'envoi d'une copie complète, à : - Me Bertrand Pariat, avocat (pour I.________),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