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300 vom 20. April 2017</w:t>
      </w:r>
    </w:p>
    <w:p>
      <w:r>
        <w:t>VD Tribunal cantonal, 2017-04-20, FR</w:t>
      </w:r>
    </w:p>
    <w:p>
      <w:r>
        <w:rPr>
          <w:b/>
        </w:rPr>
        <w:t xml:space="preserve">Quelle: </w:t>
      </w:r>
      <w:r>
        <w:t>https://mcp.opencaselaw.ch/entscheid/vd_findinfo_D_cision___2017___300</w:t>
      </w:r>
    </w:p>
    <w:p>
      <w:r>
        <w:t>FR: VD_FINDINFO Décision / 2017 / 300 du 20 avril 2017</w:t>
      </w:r>
    </w:p>
    <w:p>
      <w:r>
        <w:t>IT: VD_FINDINFO Décision / 2017 / 300 del 20 aprile 2017</w:t>
      </w:r>
    </w:p>
    <w:p>
      <w:pPr>
        <w:pStyle w:val="Heading2"/>
      </w:pPr>
      <w:r>
        <w:t>Regeste</w:t>
      </w:r>
    </w:p>
    <w:p>
      <w:r>
        <w:t>REJET DE LA DEMANDE, DÉTENTION PROVISOIRE, LETTRE | 235 CPP (CH), 393 al. 1 let. a CPP (CH)</w:t>
      </w:r>
    </w:p>
    <w:p>
      <w:pPr>
        <w:pStyle w:val="Heading2"/>
      </w:pPr>
      <w:r>
        <w:t>Erwägungen</w:t>
      </w:r>
    </w:p>
    <w:p>
      <w:r>
        <w:rPr>
          <w:b/>
        </w:rPr>
        <w:t>E. 1</w:t>
      </w:r>
    </w:p>
    <w:p>
      <w:r>
        <w:t>Aux termes de l’art. 393 al. 1 let. a CPP (Code de procédure pénale suisse du 5 octobre 2007,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 En l’espèce, le recours a été interjeté en temps utile auprès de l’autorité compétente par le prévenu qui a qualité pour recourir (art. 382 al. 1 CPP). Conforme aux exigences de forme prescrites par l’art. 385 al. 1 CPP, il est recevable.</w:t>
      </w:r>
    </w:p>
    <w:p>
      <w:r>
        <w:rPr>
          <w:b/>
        </w:rPr>
        <w:t>E. 2.1</w:t>
      </w:r>
    </w:p>
    <w:p>
      <w:r>
        <w:t>Le recourant invoque une violation de l’art. 235 al. 3 CPP. Il fait valoir que la prétendue charge de travail excessive générée par ses courriers ne serait pas établie de manière claire, qu’un courrier journalier d’une ou deux pages manuscrites ne saurait représenter une charge de travail excessive ou être considéré comme abusif, que l’on serait loin de douze lettres journalières qui pourraient justifier une restriction, qu’aucun courrier n’aurait été rédigé en langue étrangère et que les trois courriers adressés respectivement à la Procureure, à la Police de sûreté et à une inspectrice de la Police de sûreté à son adresse privée n’auraient pas dû être cen­surés.</w:t>
      </w:r>
    </w:p>
    <w:p>
      <w:r>
        <w:rPr>
          <w:b/>
        </w:rPr>
        <w:t>E. 2.2</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 direction de la procédure contrôle le courrier entrant et sortant, à l'exception de la correspondance échangée avec les autorités de surveillance et les autorités pénales (al. 3). Les cantons règlent les droits et les obligations des prévenus en détention, leurs droits de recours, les mesures disciplinaires ainsi que la surveillance des établissements de détention (al. 5). Le droit au respect de la vie privée et familiale, et de la correspon­dance est garanti par les art. 8 CEDH (Convention de sauvegarde des droits de l'homme et des libertés fondamentales du</w:t>
      </w:r>
    </w:p>
    <w:p>
      <w:r>
        <w:rPr>
          <w:b/>
        </w:rPr>
        <w:t>E. 2.3</w:t>
      </w:r>
    </w:p>
    <w:p>
      <w:r>
        <w:t>Dans le canton de Vaud, les détenus placés dans un établissement de détention avant jugement peuvent recevoir et envoyer de la correspondance. A l’exception de celle échangée entre le détenu et son avocat, un agent d’affaires bre­ve­té, le Service pénitentiaire ou les consulats et les ambassades, la correspon­dance est contrôlée par l’autorité dont les détenus dépendent (art. 60 al. 1 et 3 RSDAJ [Règlement du 16 janvier 2008 sur le statut des détenus avant jugement et des condamnés placés dans un établissement de détention avant jugement et les régimes de détention applicables ; RSV 340.02.5]). Enfin, la Directive n o</w:t>
      </w:r>
    </w:p>
    <w:p>
      <w:r>
        <w:rPr>
          <w:b/>
        </w:rPr>
        <w:t>E. 2.4</w:t>
      </w:r>
    </w:p>
    <w:p>
      <w:r>
        <w:t>En l’espèce, le recourant a écrit un grand nombre de courriers destinés à des tiers depuis le début de sa détention mais, mise à part la journée du 11 mars 2017 durant laquelle il a écrit 11 lettres, le nombre de ses écrits destinés à des tiers demeure admissible. Le contrôle préalable de la correspondance par le Ministère public prévu par les art. 235 al. 3 CPP et 60 al. 3 RSDAJ n’apparaît toutefois pas suffisant pour prévenir tout risque de collusion, risque retenu par la Chambre des recours pénale dans son arrêt du 29 mars 2017. En effet, le recourant a la fâcheuse tendan­ce à écrire à des personnes impliquées dans le cadre de la présente enquête, ce qui nécessite un contrôle soutenu quasiment quotidien de toute son abondante corres­pondance, lequel ne peut manifestement pas être effectué par un simple gestion­naire de dossiers. Si le recourant s’exprime effectivement en français dans ses écrits, il utilise parfois un langage « codé » et certains de ses cour­riers compor­tent des codes en chiffres et en lettres qui ne sont compréhensibles que par son auteur et par son destinataire (P. 59). On ne peut dès lors exclure que les écrits du recourant puissent compromettre la recherche de la vérité, l’ampleur de son activité délictueuse n’étant, en l’état, pas encore connue. Le recourant a en outre lui-même admis avoir conservé des liens avec « le milieu » dans un courrier adressé le 2 mars à la Procureure (P. 130). Il existe donc un risque bien réel que le recourant tente d’entrer en contact avec des personnes impliquées dans la présente enquête pour s’exprimer sur des éléments de celle-ci et qu’il entrave la bonne marche de l’instruction pénale. Dans ces conditions, le risque de collusion fait, en l’état, obstacle à toute corres­pondance épistolaire du recourant avec des tiers. Au vu de ce qui précède, l'interdiction prononcée par le Ministère public, proportionnée aux circonstances et aux objectifs légitimes imposés par la conduite de l’instruction, ne prête pas le flanc à la critique, ce d’autant moins que sa durée est limitée à un mois. L’effet suspensif au recours ayant été accordé, l’interdiction prendra effet à réception de l’arrêt de la Cour de céans. 3. Il résulte de ce qui précède que le recours interjeté par T.________ doit être rejeté et l’ordonnance attaquée confirmée. Les frais de la procédure de recours, constitués en l’espèce de l’émolument d'arrêt, par 990 fr. (art. 20 al. 1 TFIP [Tarif des frais judiciaires de procédure et indemnités en matière pénale du 28 septembre 2010; RSV 312.03.1]), et des frais imputables à la défense d’office (art. 422 al. 1 et 2 let. a CPP), par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21 mars 2017 est confirmée, étant précisé que l’interdiction prononcée prendra effet dès la notification du présent arrêt. III. L’indemnité allouée au défenseur d’office de T.________ est fixée à 583 fr. 20 (cinq cent huitante-trois francs et vingt centimes). IV. Les frais d’arrêt, par 990 fr. (neuf cent nonante francs), ainsi que l’indemnité due au défenseur d’office de T.________, par 583 fr. 20 (cinq cent huitante-trois francs et vingt centimes), sont mis à la charge de ce dernier. V. Le remboursement à l’Etat de l’indemnité allouée au chiffre III ci-dessus sera exigible pour autant que la situation économique de T.________ se soit améliorée. VI. L’arrêt est exécutoire. Le président :               La greffière : Du Le présent arrêt, dont la rédaction a été approuvée à huis clos, est notifié, par l'envoi d'une copie complète, à : - Me Jacques Bonfils (pour T.________), - Ministère public central, et communiqué à : ‑ Mme la Procureure de l’arrondissement de l’Est vaudois,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5</w:t>
      </w:r>
    </w:p>
    <w:p>
      <w:r>
        <w:t>novembre 1950 ; RS 0.101) et 13 Cst. (Constitution fédérale de la Confédération suisse du 18 avril 1999 ; RS 101). Il permet aux personnes détenues de recevoir régulièrement des visites des membres de leur famille et d’envoyer et de recevoir du courrier, dans les limites découlant de la mesure de contrainte qui leur est imposée et du rapport de sujétion spécial qui les lie à l'Etat. Conformément aux exigences de l'art. 36 Cst., les restrictions à ce droit doivent reposer sur une base légale et ne pas aller au-delà de ce qui est nécessaire au but de l'incarcération (ATF 124 I 203 consid. 2b; ATF 119 Ia 505 consid. 3b; ATF 118 Ia 64 consid. 2d).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du lieu de résidence des proches et des besoins et possibilités réelles de correspondre et de recevoir des visites (TF 1B_202/2016 du 14 juillet 2016 consid. 2.2 ; TF 1B_170/2014 du 12 juin 2014 consid. 2.2). L’art. 24.1 des Règles Pénitentiaires Européennes (RPE) autorise les détenus à communiquer aussi fréquemment que possible – par lettre, par téléphone ou par d'autres moyens de communication – avec leur famille, des tiers et des repré­sen­tants d'organismes extérieurs, ainsi qu'à recevoir des visites desdites personnes. L’art. 24.2 RPE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Ces règles n'ont valeur que de simples directives à l'intention des Etats membres du Conseil de l'Europe, mais le Tribunal fédéral en tient compte dans la concrétisation de la liberté personnelle et des autres fondamentaux garantis par la Constitution fédérale (ATF 141 I 141 consid. 6.3.3). S'agissant des contacts des détenus avec le monde extérieur, l’art. 24 RPE peut être considéré comme définis­sant les responsabilités des administrations pénitentiaires pour assurer le respect des droits découlant notamment de l'art. 8 CEDH dans les conditions fondamenta­lement restrictives de la prison (TF 1B_202/2016 du 14 juillet 2016 consid. 2.2 ; TF 1B_17/2015 du consid. 3.3). La correspondance du détenu, qui doit être contrôlée par la direction de la procédure afin d’assurer le but de la détention, peut être limitée si cela s’avère nécessaire pour le bon ordre de l’établis­se­ment carcéral. La direction de la procé­dure doit fournir des efforts particuliers pour maîtriser la charge du contrôle et seuls des abus véritables doivent être sanctionnés. L’envoi quotidien d’une douzaine de lettres est par exemple considéré comme abusif (Moreillon/Parein-Reymond, Petit commentaire du Code de procédure pénale, 2 e éd., Bâle 2016, n. 18 ad art. 235 al. 3 CPP ; cf. ATF 118 Ia 64 consid. 3p, JdT 2007 IV 43 spéc. p. 62). En outre, le détenu peut s’exprimer librement. Il peut s’en prendre aux autorités pénales de manière inconvenante, insolente ou excessive, mais pas en portant gravement atteinte à leur honneur ou en formulant des injures ordurières (Moreillon/Parein-Reymond, op. cit., n. 19 ad art. 235 al. 3 CPP ; TF 1B_103/2014 du 16 avril 2014 consid. 3).</w:t>
      </w:r>
    </w:p>
    <w:p>
      <w:r>
        <w:rPr>
          <w:b/>
        </w:rPr>
        <w:t>E. 9</w:t>
      </w:r>
    </w:p>
    <w:p>
      <w:r>
        <w:t>du Procureur général sur les règles applicables aux contacts entre les prévenus détenus et l'extérieur confirme que le courrier entrant et sortant de la prison n’est en principe soumis à aucun quota et que celui-ci fait néanmoins l’objet d’un contrôle systématique par le greffe du procureur en charge du dossier (art. 60 al. 3 RSDAJ). La Directive précise encore que ces courriers ne doivent pas contenir d’informations relatives à l’enquête et que si tel est néanmoins le cas, le greffe refuse la transmission de la correspondance et retourne le courrier à son expéditeur en lui indiquant, dans la mesure nécessaire, les motifs de son refus.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