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30 vom 9. Januar 2017</w:t>
      </w:r>
    </w:p>
    <w:p>
      <w:r>
        <w:t>VD Tribunal cantonal, 2017-01-09, FR</w:t>
      </w:r>
    </w:p>
    <w:p>
      <w:r>
        <w:rPr>
          <w:b/>
        </w:rPr>
        <w:t xml:space="preserve">Quelle: </w:t>
      </w:r>
      <w:r>
        <w:t>https://mcp.opencaselaw.ch/entscheid/vd_findinfo_D_cision___2017___30</w:t>
      </w:r>
    </w:p>
    <w:p>
      <w:r>
        <w:t>FR: VD_FINDINFO Décision / 2017 / 30 du 9 janvier 2017</w:t>
      </w:r>
    </w:p>
    <w:p>
      <w:r>
        <w:t>IT: VD_FINDINFO Décision / 2017 / 30 del 9 gennaio 2017</w:t>
      </w:r>
    </w:p>
    <w:p>
      <w:pPr>
        <w:pStyle w:val="Heading2"/>
      </w:pPr>
      <w:r>
        <w:t>Regeste</w:t>
      </w:r>
    </w:p>
    <w:p>
      <w:r>
        <w:t>AVOCAT, STAGE, RÉPRIMANDE | 12 let. a LLCA</w:t>
      </w:r>
    </w:p>
    <w:p>
      <w:pPr>
        <w:pStyle w:val="Heading2"/>
      </w:pPr>
      <w:r>
        <w:t>Erwägungen</w:t>
      </w:r>
    </w:p>
    <w:p>
      <w:r>
        <w:rPr>
          <w:b/>
        </w:rPr>
        <w:t>E. 1</w:t>
      </w:r>
    </w:p>
    <w:p>
      <w:r>
        <w:t>La LLCA fixe les principes applicables à l'exercice de la profession d'avocat en Suisse (art. 1 LLCA [loi fédérale sur la libre circulation des avocats du 23 juin 2000 ; RS 935.61]) et, en particulier, les règles professionnelles auxquelles l'avocat est soumis (art. 12 LLCA). L’avocat stagiaire doit respecter les obligations professionnelles prévues par la loi, comme il s’y engage avant d’être inscrit au registre cantonal des avocats stagiaires (art. 24 LPAv). L’avocat stagiaire qui, soit intentionnellement soit par négligence, commet une infraction à la LPAv ou à ses dispositions d’applications, viole ses devoirs professionnels ou la promesse qu’il a solennisée, est passible d’une peine disciplinaire (art. 54 al. 1 LPAv). Dans le canton de Vaud, la Chambre des avocats est l’autorité cantonale chargée de la surveillance des avocats (art. 11 al. 1 LPAv). Elle est également l’autorité disciplinaire des avocats stagiaires (art. 11 al. 3 LPAv).</w:t>
      </w:r>
    </w:p>
    <w:p>
      <w:r>
        <w:rPr>
          <w:b/>
        </w:rPr>
        <w:t>E. 2</w:t>
      </w:r>
    </w:p>
    <w:p>
      <w:r>
        <w:t>Me D.________ requiert la mise en œuvre de plusieurs mesures d’instruction complémentaires. Il sollicite en premier lieu l’audition de Me Y.________ et de Mme la Bâtonnière « pour qu’ils confirment la manière dont les faits se sont déroulés ». Une telle audition n’est toutefois pas nécessaire dès lors qu’il n’est nullement contesté que Me D.________ s’est adressé à Me Y.________, puis sur conseil de celui-ci à Mme la Bâtonnière, et qu’il n’a pas personnellement dénoncé Me S.________ à la Chambre des avocats. Me D.________ requiert ensuite la production des procès-verbaux d’audition de Me S.________ et de lui-même par Me Henny, membre instructeur. Me Henny n’a toutefois pas tenu de procès-verbal de ces auditions, comme Me D.________ a pu s’en rendre compte lors de sa propre audition. Il a uniquement pris quelques notes manuscrites qui ne sauraient en aucun cas tenir lieu de procès-verbal. Me D.________ ne s’est d’ailleurs pas opposé à cette manière de faire et n’a pas requis que ses propos soient verbalisés formellement. Pour le surplus, il convient de relever que le rapport de Me Henny du 30 novembre 2016 se fonde sur des documents figurant au dossier et sur les déclarations de Me D.________ et de Me M.________ protocolées aux procès-verbaux des séances de la Chambre des avocats des 12 septembre et 17 novembre 2016. La production du dossier d’enquête contre Me S.________ est également requise. Me D.________ n’a toutefois aucun droit à consulter ce dossier. Le dénonciateur ne peut, s'agissant d'une procédure disciplinaire, être considéré comme une partie et la décision disciplinaire ne peut, pour ce motif, lui être communiquée (CREC 14 avril 2008, n° 66/II). Me D.________, qui n’est au demeurant même pas dénonciateur comme il l’invoque lui-même, n’a donc aucun droit à accéder à la décision – ni a fortiori au dossier – concernant Me S.________. Il ne peut pour le surplus faire valoir aucun intérêt digne de protection à la production de ce dossier dès lors qu’aucun élément retenu à l’encontre de Me D.________ ne ressort de pièces qui ne lui auraient pas été communiquées et qui ressortiraient de ce dossier. Partant, cette requête doit également être rejetée. On notera que le conseil de Me D.________ fait valoir que le courrier que son client a adressé à Me Henny le 7 juillet 2016 ne se trouve pas dans le dossier qui lui a été adressé le 1 er décembre 2016, pas plus que les échanges de SMS qu’il a produit lors de son audition le 12 septembre 2016. On ne saurait toutefois faire grief à la Chambre des avocats de ne pas les lui avoir renvoyés en copie, s’agissant de pièces dont son client doit être en possession puisqu’il les a lui-même transmis au membre instructeur et à la Chambre des avocats. Enfin, Me D.________ demande à être entendu une nouvelle fois en présence de son conseil. Me [...] a été dûment entendu par la Chambre des avocats. Le fait qu’il attende la fin de la procédure pour consulter un avocat ne lui donne pas un droit à être entendu une nouvelle fois assisté de ce conseil. Il a en outre pu se déterminer par écrit après l’audition de Me M.________ et le dépôt par Me Henny de son rapport du 30 novembre 2016. Son droit d’être entendu a ainsi été respecté. En effet, l'art. 29 al. 2 Cst. ne confère pas aux parties le droit d'être entendu oralement par l'autorité (TF 5A_107/2016 du 9 août 2016, consid. 2.2 ; TF 8C_239/2010 du 9 mai 2011 ; ATF 134 I 540 consid. 5.3). Au vu de ce qui précède, la Chambre des avocats décide de ne pas donner suite aux mesures d’instruction requises par le dénoncé.</w:t>
      </w:r>
    </w:p>
    <w:p>
      <w:r>
        <w:rPr>
          <w:b/>
        </w:rPr>
        <w:t>E. 3.1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TF 2C_652/2014 du 24 décembre 2014 consid. 3.2 ; TF 2C_177/2007 du 19 octobre 2007).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consid. 2b/bb, JdT 1984 I 183 ; ATF 106 Ia 100 consid. 6b, JdT 1982 I 579; Valticos, Commentaire Romand de la LLCA, n. 6  ad art. 12 LLCA, p. 94). L'art. 12 let. a LLCA sanctionne les comportements de l'avocat qui remettent en cause la bonne administration de la justice ainsi que la confiance en sa personne et en la profession d'avocat en général (Bohnet/Martenet, Droit de la profession d'avocat, Berne 2009, n. 1165 p. 502). Selon la jurisprudence du Tribunal fédéral, l'avocat dispose d'une grande liberté pour critiquer l'administration de la justice – que ce soit en s'en prenant à un magistrat ou à un confrère (arrêt 2P.212/2000 du 5 janvier 2001, RDAT 2001 II no 10 p. 44 consid. 3b) – tant qu'il le fait dans le cadre de la procédure, dans un mémoire ou à l'occasion de débats oraux (ATF 130 II 270 consid. 3.2 ; TF 2C_1180/2013 du 24 octobre 2014 consid. 4.1.1).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(TF 2C_782/2015 du 19 janvier 2016 consid. 5.2 ; TF 2A.191/2003 du 22 janvier 2004 consid. 7.3). Le Tribunal fédéral a notamment considéré qu’avait violé son devoir de diligence l’avocate qui avait reproché à des confrères de violer leurs devoirs professionnels dans une lettre ouverte adressée à la commission du barreau, à divers magistrats et à des particuliers impliqués dans plusieurs procédures ayant donné lieu au comportement répréhensible de ces avocats selon l’auteur du courrier (TF 2A.191/2003 précité, consid. 7.4).</w:t>
      </w:r>
    </w:p>
    <w:p>
      <w:r>
        <w:rPr>
          <w:b/>
        </w:rPr>
        <w:t>E. 3.2</w:t>
      </w:r>
    </w:p>
    <w:p>
      <w:r>
        <w:t>En l’espèce, il n’est nullement contesté que Me D.________ n’a pas dénoncé personnellement son ancien maître de stage auprès de la Chambre des avocats. C’est à Me Y.________ qu’il a communiqué les comportements lui paraissant contraires à la loi et aux règles professionnelles puis, sur conseil de celui-ci, à Mme la Bâtonnière. Les 6 et 7 juillet 2016, Me D.________ et Me S.________ ont signé une convention réglant tous les éléments litigieux (plaintes pénales, procédure devant le tribunal des prud’hommes, prétentions en paiement, frais). Selon le chiffre I de cette convention, Me D.________ a admis « expressément avoir donné à tort, crédit à des propos émis par des tiers qui sont pas ou n’ont jamais été collaborateurs de l’Etude, et dont on peut affirmer qu’ils n’ont aucun fondement ». Il a ensuite écrit à Me Henny pour lui communiquer la convention précitée. Il a précisé qu’il partait du principe « que la version de Me S.________ [était] le reflet de la vérité et que la vision [qu’il avait] eu de ces événements [avait] été induite par un manque de bonne communication avec lui et le fruit d’une réputation construite, contre lui, par des personnes mal intentionnées ». Me D.________ a ainsi tenu contre son ancien maître de stage des propos qui, à défaut d’être prouvés, pouvaient être diffamants. Ce conflit entre un stagiaire et son maître de stage a toutefois été résolu par la signature d’une convention et, à ce stade, la Chambre des avocats aurait pu renoncer à prononcer une sanction contre Me D.________. Son comportement durant la procédure disciplinaire a toutefois démontré qu’il n’avait pas compris qu’il ne pouvait pas porter sans preuve de telles accusations sans violer ses obligations professionnelles. Lors de son audition par la Chambre de céans le 2 septembre 2016, Me D.________ a expliqué qu’il avait signé la convention par gain de paix. Il a déclaré qu’il n’était pas d’accord avec le chiffre I de la convention, réitérant ainsi les accusations portées contre Me S.________. Dans ses déterminations du 21 septembre 2016, il a en outre reproché à la Chambre des avocats qu’il n’y ait eu aucune mesure d’investigation propre à confirmer ou infirmer les soupçons portés contre Me S.________, il a critiqué la valeur probante des attestations provenant de personnes « ayant toutes un intérêt indiscutable à nier la connaissance de certaines pratiques » et il a fait valoir qu’il ne lui était « pas loisible de déterminer si les faits relayés étaient graves ou non », la gravité dépendant de savoir s’ils étaient avérés ou non. Il ressort également de l’audition de Me M.________ qu’il lui a donné des exemples de faits qu’il reprochait à Me S.________. Ainsi, non seulement Me D.________ a formulé contre son ancien maître de stage dans le cadre d’un litige privé des critiques dépassant déjà le cadre de ce qui est admissible, mais il a ensuite porté ces griefs à la connaissance de son nouveau maître de stage, puis il a réitéré ses critiques auprès des membres de la Chambre des avocats alors qu’il avait signé une convention et un courrier déclarant qu’elles étaient infondées. Il a même été jusqu’à reprocher à la Chambre de céans de ne pas avoir instruit sur les faits reprochés à Me S.________. Le fait d’avoir signé une convention avec son maître de stage par gain de paix n’autorisait pas Me D.________ à renouveler ses critiques, d’autant qu’il n’a jamais fourni aucune preuve des comportements qu’il lui reprochait. A cet égard, les échanges de messages avec la secrétaire de l’étude ne permettent pas de déterminer précisément de quoi il s’agit : le premier échange parle d’un versement d’argent dont on ignore absolument tout (provenance, montant, destination) et le deuxième échange contient une plaisanterie de la secrétaire sur le fait qu’elle pourrait signer «  [...]». Ces documents n’ont absolument aucune force probante. Par ailleurs, Me D.________ a déclaré qu’il ne pouvait pas savoir si les faits dont il accusait Me S.________ étaient graves puisque cela dépendait de savoir si ces faits étaient avérés. Me D.________ admet ainsi lui-même avoir propagé des faits pour lesquels il n’avait aucune preuve, ce qui apparaît particulièrement grave de la part d’un avocat-stagiaire qui doit connaître la nécessité de pouvoir prouver ce qu’on allègue à charge de quelqu’un, qui plus est un confrère, lorsque des propos, qui à défaut d’être prouvés pourraient être diffamants, sont tenus. Au reste, Me D.________ reproche à la Chambre des avocats de ne pas avoir instruit sur ses griefs tout en contestant la force probante d’attestations qui proviendraient de personnes ayant toutes un « intérêt indiscutable à nier la connaissance de certaines pratiques », soit les associés, stagiaires et secrétaires de Me S.________. Me D.________ n’indique cependant pas quelles autres mesures d’instruction auraient été propres à étayer ses dires. Il ne paraît d’ailleurs pas le savoir lui-même puisqu’il déclare que la gravité des faits allégués dépendait de savoir s’ils étaient avérés ou non. Sur ce point, on peut relever que Me D.________ aurait eu tout loisir de faire la preuve de la vérité de ses accusations dans le cadre de l’enquête pénale déposée contre Me S.________. Or, il a lui-même renoncé à ce que la lumière soit faite sur ses allégations en retirant sa plainte pénale. Le fait d’accuser un maître de stage – ou un confrère – de comportements contraires à la loi et aux obligations professionnelles sans aucune preuve auprès d’un confrère et d’une autorité en dépit de l’accord intervenu constitue, de la part d’un avocat stagiaire qui aspire à devenir avocat, une violation crasse de l’obligation de soin et diligence prévue à l’art. 12 let. a LLCA. On peut au demeurant relever qu’il est particulièrement inquiétant de lire sous la plume de son conseil que Me D.________ n’avait pas retiré ses accusations au chiffre I de la convention signée avec Me S.________. Cela est contredit non seulement par le texte clair de la convention mais également par la lettre que Me D.________ a écrite à Me Henny le 7 juillet 2016. Quant à la distinction entre « accusations » et « signalement » (déterminations p. 6), elle ne change rien au fait que Me D.________ imputait à Me S.________ des actes contraires à la loi et aux règles professionnelles.</w:t>
      </w:r>
    </w:p>
    <w:p>
      <w:r>
        <w:rPr>
          <w:b/>
        </w:rPr>
        <w:t>E. 4.1</w:t>
      </w:r>
    </w:p>
    <w:p>
      <w:r>
        <w:t>A teneur de l’art. 54 al. 2 LPAv, les peines disciplinaires qui peuvent être prononcées contre l’avocat stagiaire qui a violé ses devoirs professionnels sont l’avertissement, une amende de 5'000 fr. au plus, l'interdiction temporaire d’effectuer un stage dans le Canton de Vaud pour une durée maximale de deux ans ou l’interdiction définitive d’effectuer un stage dans le Canton de Vaud.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doit tenir compte du comportement passé de l'avocat en cause, mais également du comportement de l'avocat dans la procédure (Bohnet/Martenet, op. cit., n. 2187 p. 891). Ainsi, la violation du devoir de diligence a été jugée d’autant plus grave que l’avocat a confirmé sa position dans ses observations à l’autorité de surveillance et semblé ne pas se rendre compte du caractère incorrect de ses déclarations (Commissione di disciplina TI 28 avril 2008/354, In Bolletino 36/2008 71, cité in Bohnet/Martenet, op. cit., p. 891, note infrapaginale n° 403).</w:t>
      </w:r>
    </w:p>
    <w:p>
      <w:r>
        <w:rPr>
          <w:b/>
        </w:rPr>
        <w:t>E. 4.2</w:t>
      </w:r>
    </w:p>
    <w:p>
      <w:r>
        <w:t>En l'espèce, Me D.________ a failli à son devoir de diligence dans ses rapports avec son maître de stage, ainsi qu’avec l’autorité disciplinaire. Son comportement a porté atteinte à la considération et à la confiance dont doit pouvoir jouir un avocat dans l'exercice de sa profession. Il revêt une certaine gravité, dans la mesure où Me D.________ ne paraît toujours pas avoir reconnu et compris ce que son comportement avait de contraire à ses obligations professionnelles. En effet, alors qu’une enquête disciplinaire avait été ouverte contre lui à raison des propos qu’il avait tenus au sujet de son ancien maître de stage, qu’il avait reçu un rapport du membre instructeur qui citait expressément l’art. 12 al. 1 LLCA, il a renouvelé lors de son audition par la Chambre des avocats et dans ses déterminations du 21 septembre 2016 les griefs qu’il avait contre Me S.________, toujours sans aucune preuve de leur véracité. Un autre fait aggravant qui interpelle la Chambre de céans réside dans l’âge et l’expérience professionnelle du dénoncé. Me D.________ n’est pas un novice qui vient de terminer ses études. Par son âge et son passé de policier, il devait savoir qu’on ne peut accuser une personne d’infractions pénales sans détenir aucune preuve de ses allégations. Même sous le coup d’une enquête disciplinaire, il a persisté dans son attitude accusatrice. La Chambre des avocats est dès lors inquiète de constater que l’expérience et l’âge de Me D.________ ne l’ont pas empêché d’agir de la sorte. A sa décharge, il sera toutefois tenu compte du fait que Me D.________ n’a pas dénoncé personnellement Me S.________ à la Chambre des avocats et que ses griefs ont été invoqués initialement dans le cadre de son stage, auprès du référent des stagiaires, Me Y.________, puis de Mme la Bâtonnière. On retiendra également que Me D.________ n’est pas un avocat breveté mais un stagiaire encore en formation. Ainsi, au regard de l'ensemble des circonstances, mais non sans hésitation, la Chambre des avocats décide de ne prononcer à l’encontre de Me D.________ qu’un avertissement pour sanctionner son comportement.</w:t>
      </w:r>
    </w:p>
    <w:p>
      <w:r>
        <w:rPr>
          <w:b/>
        </w:rPr>
        <w:t>E. 5</w:t>
      </w:r>
    </w:p>
    <w:p>
      <w:r>
        <w:t>Les frais de la cause, comprenant un émolument ainsi que les frais d'enquête, par 742 fr., sont arrêtés à 1’200 francs. Ils sont mis à la charge de D.________ (art. 59 al. 1 er LPAv). Par ces motifs, la Chambre des avocats, statuant à huis clos : I. Prononce contre l'avocat stagiaire D.________ la peine disciplinaire de l'avertissement. II. Dit que les frais d’enquête et de décision, par 1’200 fr. (mille deux cents francs), sont mis à la charge de D.________. La présidente :               La greffière : Du La décision qui précède, lue et approuvée à huis clos, est notifiée à : ‑ Me Colette Lasserre Rouiller (pour D.________). Toute décision de la Chambre des avocats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