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25 vom 9. Januar 2017</w:t>
      </w:r>
    </w:p>
    <w:p>
      <w:r>
        <w:t>VD Tribunal cantonal, 2017-01-09, FR</w:t>
      </w:r>
    </w:p>
    <w:p>
      <w:r>
        <w:rPr>
          <w:b/>
        </w:rPr>
        <w:t xml:space="preserve">Quelle: </w:t>
      </w:r>
      <w:r>
        <w:t>https://mcp.opencaselaw.ch/entscheid/vd_findinfo_D_cision___2017___25</w:t>
      </w:r>
    </w:p>
    <w:p>
      <w:r>
        <w:t>FR: VD_FINDINFO Décision / 2017 / 25 du 9 janvier 2017</w:t>
      </w:r>
    </w:p>
    <w:p>
      <w:r>
        <w:t>IT: VD_FINDINFO Décision / 2017 / 25 del 9 gennaio 2017</w:t>
      </w:r>
    </w:p>
    <w:p>
      <w:pPr>
        <w:pStyle w:val="Heading2"/>
      </w:pPr>
      <w:r>
        <w:t>Regeste</w:t>
      </w:r>
    </w:p>
    <w:p>
      <w:r>
        <w:t>NON-LIEU | 310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par une partie plaignante qui a qualité pour recourir (art. 382 al. 1 CPP) et dans les formes prescrites (art. 385 al. 1 CPP), le recours est recevable.</w:t>
      </w:r>
    </w:p>
    <w:p>
      <w:r>
        <w:rPr>
          <w:b/>
        </w:rPr>
        <w:t>E. 2.1</w:t>
      </w:r>
    </w:p>
    <w:p>
      <w:r>
        <w:t>Aux termes de l'art. 310 al. 1 let. a CPP, une ordonnance de non-entrée en matière est rendue immédiatement – c’est-à-dire sans qu’une instruction soit ouverte (art. 309 al. 1 et 4 CPP; TF 1B_111/2012 du 5 avril 2012 consid.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2.2</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ATF 114 IV 41 consid. 2 p. 43; ATF 113 IV 29 consid. 1 p. 30). Cet abus doit être davantage qu'une simple violation des devoirs de service (ATF 114 IV 41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6B_831/2011 du 14 février 2012 consid. 1.2 in fine ). L'existence par dol éventuel de l'un ou l'autre de ces desseins suffit (TF 6B_1169/2014 du 6 octobre 2015 consid. 2.1 et réf., ainsi que, sur tous ces points, CREP 22 juin 2016/414 consid. 4.2).</w:t>
      </w:r>
    </w:p>
    <w:p>
      <w:r>
        <w:rPr>
          <w:b/>
        </w:rPr>
        <w:t>E. 2.3</w:t>
      </w:r>
    </w:p>
    <w:p>
      <w:r>
        <w:t>En l'espèce, le recourant ne dit pas en quoi la position du Ministère public serait critiquable. Reprenant les termes de sa plainte, il allègue que le gardien l'aurait provoqué sur le ton de la rigolade et qu'il aurait interrompu une conversation avec un tiers. Il ne démontre pas et on ne voit pas en quoi le comportement du prévenu réunirait les éléments constitutifs d'une infraction à l'art. 312 CP.</w:t>
      </w:r>
    </w:p>
    <w:p>
      <w:r>
        <w:rPr>
          <w:b/>
        </w:rPr>
        <w:t>E. 2.4</w:t>
      </w:r>
    </w:p>
    <w:p>
      <w:r>
        <w:t>A défaut d'infraction, c'est à bon droit que le Ministère public a décidé de ne pas entrer en matière.</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l'émolument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8 décembre 2016 est confirmée. III. Les frais d’arrêt, par 550 fr. (cinq cent cinquante francs), sont mis à la charge de S.________. IV. L’arrêt est exécutoire. Le président :               La greffière : Du Le présent arrêt, dont la rédaction a été approuvée à huis clos, est notifié, par l'envoi d'une copie complète, à : - S.________, - Ministère public central, et communiqué à : - Monsieur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