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240 vom 28. April 2017</w:t>
      </w:r>
    </w:p>
    <w:p>
      <w:r>
        <w:t>VD Tribunal cantonal, 2017-04-28, FR</w:t>
      </w:r>
    </w:p>
    <w:p>
      <w:r>
        <w:rPr>
          <w:b/>
        </w:rPr>
        <w:t xml:space="preserve">Quelle: </w:t>
      </w:r>
      <w:r>
        <w:t>https://mcp.opencaselaw.ch/entscheid/vd_findinfo_D_cision___2017___240</w:t>
      </w:r>
    </w:p>
    <w:p>
      <w:r>
        <w:t>FR: VD_FINDINFO Décision / 2017 / 240 du 28 avril 2017</w:t>
      </w:r>
    </w:p>
    <w:p>
      <w:r>
        <w:t>IT: VD_FINDINFO Décision / 2017 / 240 del 28 aprile 2017</w:t>
      </w:r>
    </w:p>
    <w:p>
      <w:pPr>
        <w:pStyle w:val="Heading2"/>
      </w:pPr>
      <w:r>
        <w:t>Regeste</w:t>
      </w:r>
    </w:p>
    <w:p>
      <w:r>
        <w:t>APPROPRIATION ILLÉGITIME, ABUS DE CONFIANCE, GESTION DÉLOYALE, IN DUBIO PRO DURIORE, CLASSEMENT DE LA PROCÉDURE, CONSTATATION DES FAITS | 137 ch. 1 CP, 138 CP, 158 CP, 314 al. 1 let. b CPP (CH), 319 al. 1 CPP (CH), 393 CPP (CH)</w:t>
      </w:r>
    </w:p>
    <w:p>
      <w:pPr>
        <w:pStyle w:val="Heading2"/>
      </w:pPr>
      <w:r>
        <w:t>Erwägungen</w:t>
      </w:r>
    </w:p>
    <w:p>
      <w:r>
        <w:rPr>
          <w:b/>
        </w:rPr>
        <w:t>E. 5</w:t>
      </w:r>
    </w:p>
    <w:p>
      <w:r>
        <w:t>Le recourant reproche enfin au Procureur d'avoir refusé de suspendre la procédure jusqu'à l'issue de la procédure civile pendante devant le Tribunal civil du canton de Genève, ou jusqu'au dépôt d'un rapport d'expertise concernant la valeur de la [...] en janvier 2013.</w:t>
      </w:r>
    </w:p>
    <w:p>
      <w:r>
        <w:rPr>
          <w:b/>
        </w:rPr>
        <w:t>E. 5.1</w:t>
      </w:r>
    </w:p>
    <w:p>
      <w:r>
        <w:t>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 justifie ou non (Moreillon/Parein-Reymond, Petit commentaire CPP, 2 e éd., Bâle 2016, n. 11 ad art. 314 CPP ; Cornu, in : Kuhn/Jeanneret [éd.], Commentaire romand, Code de procédure pénale, Bâle 2011, n. 13 ad art. 314 CPP ; CREP 17 mars 2014/182). Il doit en particulier examiner si le résultat de l'autre procédure peut véritablement jouer un rôle pour le résultat de la procédure pénale suspendue et s'il simplifiera de manière significative l'administration des preuves dans cette même procédure (TF 1B_721/2011 du 7 mars 2012 consid. 3.1 ; Cornu, op. cit., n. 13 ad art. 314 CPP). En outre, comme l’expose la jurisprudence constante du Tribunal fédéral, la suspension d’une procédure ne doit être admise qu’à titre exceptionnel, le principe de la célérité devant primer en cas de doute (TF 1B_67/2011 du 13 avril 2011 consid. 1.1 ; CREP 16 juin 2016/402 consid. 2.2).</w:t>
      </w:r>
    </w:p>
    <w:p>
      <w:r>
        <w:rPr>
          <w:b/>
        </w:rPr>
        <w:t>E. 5.2</w:t>
      </w:r>
    </w:p>
    <w:p>
      <w:r>
        <w:t>Le Procureur a rejeté la requête de suspension de la procédure en indiquant notamment qu'il n'était pas certain que le Tribunal civil du canton de Genève ordonne l'expertise en question et que, même si tel devait être le cas, cette expertise ne serait pas à même de modifier la décision de classement de la procédure. En l'occurrence, cette décision ne prête pas le flanc à la critique. En effet, par ordonnance du 7 octobre 2016, le Tribunal civil du canton de Genève a décidé la mise en œuvre d'une expertise, dont l'objet est de déterminer quel était le prix sur le marché d'une [...] de 1968 à restaurer entièrement, et en particulier celui du véhicule litigieux (a), comment le prix d'un tel véhicule à restaurer peut-il être déterminé (b), si le fait que le véhicule n'ait jamais été restauré avait une influence sur son prix et, le cas échéant, laquelle (c), quelle était la probabilité, en janvier 2013, de trouver sur le marché une [...], hors vente aux enchères, et à quel prix et dans quel état (d), et quelle valeur peut être donnée aux évaluations publiées dans des magazines tels que « Rétroviseur » (e) (P. 71/2/4 du dossier de la procédure PE13.003080). L'ordonnance en question a, selon le recourant, fait l'objet d'un recours, de sorte qu'elle n'est aujourd'hui pas exécutoire et que l'expertise n'a, dès lors, pas encore été mise en œuvre. Or, il convient de relever que la mise en œuvre de cette expertise, à supposer que celle-ci ait lieu, ainsi que son exécution, prendra de toute évidence du temps. A plus forte raison, le dépôt d'un rapport d'expertise définitif, éventuellement complété par des questions supplémentaires des parties ou un complément d'expertise, ne pourra intervenir qu'au terme de nombreux mois, voire de plusieurs années. Par ailleurs, il est douteux que le rapport à intervenir puisse revêtir une importance déterminante dans la présente affaire. Outre les grandes difficultés que rencontrerait vraisemblablement l'expert pour fixer la valeur d'un véhicule ayant été considérablement modifié et restauré depuis l'année 2013, celui-ci ne se prononcerait pas sur le prix de vente du véhicule que pouvait espérer en tirer son propriétaire dans la mesure où il était pressé par le temps, et où il ne pouvait le restaurer ni s'affairer à organiser une éventuelle vente aux enchères. En définitive, l'expert ne se prononcerait ainsi pas sur l'intégralité des éléments permettant de conclure à l'existence d'un dommage causé au patrimoine d'A.Q.________, ou à un éventuel comportement délictueux des prévenus. En conclusion, le principe de célérité (art. 5 al. 1 CPP) commandait bien de ne pas suspendre la présente procédure jusqu'à l'obtention d'un rapport d'expertise qui ne s'avérerait manifestement pas déterminant en l'espèce.</w:t>
      </w:r>
    </w:p>
    <w:p>
      <w:r>
        <w:rPr>
          <w:b/>
        </w:rPr>
        <w:t>E. 6</w:t>
      </w:r>
    </w:p>
    <w:p>
      <w:r>
        <w:t>Il découle de ce qui précède que le recours, manifestement mal fondé, doit être rejeté sans autre échange d'écritures (art. 390 al. 2 CPP) et que l'ordonnance attaquée doit être confirmée. Les frais de la procédure de recours, constitués en l’espèce de l'émolument d'arrêt (art. 422 al. 1 CPP), par 2'640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 er février 2017 est confirmée. III. Les frais d'arrêt, par 2'640 fr. (deux mille six cent quarante francs), sont mis à la charge du recourant. IV. L’arrêt est exécutoire. Le président :               Le greffier : Du Le présent arrêt, dont la rédaction a été approuvée à huis clos, est notifié, par l'envoi d'une copie complète, à : - Me Cédric Aguet, avocat (pour A.Q.________), - Me Eric Stampfli, avocat (pour T.________), - N.________, -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