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174 vom 28. Februar 2017</w:t>
      </w:r>
    </w:p>
    <w:p>
      <w:r>
        <w:t>VD Tribunal cantonal, 2017-02-28, FR</w:t>
      </w:r>
    </w:p>
    <w:p>
      <w:r>
        <w:rPr>
          <w:b/>
        </w:rPr>
        <w:t xml:space="preserve">Quelle: </w:t>
      </w:r>
      <w:r>
        <w:t>https://mcp.opencaselaw.ch/entscheid/vd_findinfo_D_cision___2017___174</w:t>
      </w:r>
    </w:p>
    <w:p>
      <w:r>
        <w:t>FR: VD_FINDINFO Décision / 2017 / 174 du 28 février 2017</w:t>
      </w:r>
    </w:p>
    <w:p>
      <w:r>
        <w:t>IT: VD_FINDINFO Décision / 2017 / 174 del 28 febbraio 2017</w:t>
      </w:r>
    </w:p>
    <w:p>
      <w:pPr>
        <w:pStyle w:val="Heading2"/>
      </w:pPr>
      <w:r>
        <w:t>Regeste</w:t>
      </w:r>
    </w:p>
    <w:p>
      <w:r>
        <w:t>FRAIS DE LA PROCÉDURE, CLASSEMENT DE LA PROCÉDURE, PROTECTION DE LA PERSONNALITÉ | 28 CC, 382 al. 2 CPP (CH), 426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En l'espèce, à bien comprendre le recourant, celui-ci remet en cause les faits retenus par le Procureur afin de contester la mise à sa charge des frais de procédure. Dans cette mesure, il dispose d'un intérêt juridiquement protégé à la modification de l'ordonnance entreprise (art. 382 al. 1 CPP ; cf. CREP 9 décembre 2016/838 ; CREP 21 octobre 2016/709). Le recours, interjeté en temps utile et adressé à l'autorité compétente, est dès lors recevable (cf. CREP 9 décembre 2016/838 ; CREP 21 octobre 2016/709).</w:t>
      </w:r>
    </w:p>
    <w:p>
      <w:r>
        <w:rPr>
          <w:b/>
        </w:rPr>
        <w:t>E. 1.3</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 TF 6B_99/2011 du 13 septembre 2011 consid. 5.1.2 ; Chapuis, in : Kuhn/Jeanneret [éd.], op. cit.,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w:t>
      </w:r>
    </w:p>
    <w:p>
      <w:r>
        <w:rPr>
          <w:b/>
        </w:rPr>
        <w:t>E. 2.2</w:t>
      </w:r>
    </w:p>
    <w:p>
      <w:r>
        <w:t>En l'espèce, le recourant conteste toute faute de sa part, arguant en particulier le fait que son épouse ne l'a pas mis en cause lors de l'audition de confrontation qui s'est tenue le 2 juin 2016 devant le Procureur. En réalité, il existe des divergences importantes entre les déclarations de B.________ lors de son audition menée par la police directement après les faits et celles effectuées lors de l'audition de confrontation devant le Procureur, qui s'est déroulée plus d'un mois après. La rétractation de B.________ à l'occasion de l'audition du 2 juin 2016 est donc sujette à caution, à tel point que le Procureur s'est expressément étonné d'avoir reçu une dizaine de jours avant l'audition de confrontation un courrier du conseil de B.________ lui faisant part de ses inquiétudes quant aux menaces qui pourraient être proférées par A.________ lors de cette audition. Ce point n'est toutefois pas décisif. Bien plus, il apparaît que, lors de son audition, le témoin [...] a indiqué avoir entendu une femme appeler à l'aide, puis avoir vu un homme se jeter violemment sur elle. Selon le témoin, la femme se serait alors retrouvée par terre, avec l'homme assis sur elle qui lui serrait le cou, laissant penser qu'il entendait la violer. Ces faits ont motivé le témoin à appeler immédiatement la police (PV aud. 1). Quant à l'autre témoin, [...], amie de [...], elle a affirmé que l'homme secouait la femme « dans tous les sens », alors que cette dernière criait. En voyant l'homme serrer le cou de la femme, le témoin s'est alors dit « qu'il allait la tuer » (PV aud. 2). L'objectivité des deux témoins ne saurait être remise en cause, dès lors qu'elles ne connaissent pas les protagonistes de l'altercation. Face à ces témoignages, l'audition de confrontation à laquelle le recourant se réfère pour tenter de minimiser ses actes n'a que peu de valeur. Le comportement du recourant, qui s'est violemment attaqué à son épouse, consacre ainsi clairement une atteinte à la personnalité au sens de l'art. 28 CC. Ce comportement a également provoqué l'ouverture de la présente procédure. C'est dès lors de manière pleinement justifiée que le Procureur a mis les frais de procédure à la charge du recourant. Quant au montant des frais, correspondant à 15 pages à 75 fr., ainsi qu'à un émolument forfaitaire de 200 fr., soit 1'325 fr. au total, il est conforme à l'art. 14 TFPContr (tarif des frais de procédure pour le Ministère public et les autorités administratives compétentes en matière de contraventions du 15 décembre 2010 ; RSV 312.03.3).</w:t>
      </w:r>
    </w:p>
    <w:p>
      <w:r>
        <w:rPr>
          <w:b/>
        </w:rPr>
        <w:t>E. 3</w:t>
      </w:r>
    </w:p>
    <w:p>
      <w:r>
        <w:t>Il résulte de ce qui précède que le recours doit être rejeté et l'ordonnance entreprise confirmée. Les frais de la procédure de recours, constitués en l’espèce de l’émolument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L'ordonnance est confirmée. III. Les frais du présent arrêt, par 540 fr. (cinq cent quarante francs), sont mis à la charge d'A.________. IV. L’arrêt est exécutoire. Le juge unique :               Le greffier : Du Le présent arrêt, dont la rédaction a été approuvée à huis clos, est notifié, par l'envoi d'une copie complète, à : - M. A.________, - Ministère public central ; et communiqué à : - M. le Procureur de l'arrondissement de l'Est vaudois, - Me Loïc Parein (pour Mme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