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120 vom 9. Februar 2017</w:t>
      </w:r>
    </w:p>
    <w:p>
      <w:r>
        <w:t>VD Tribunal cantonal, 2017-02-09, FR</w:t>
      </w:r>
    </w:p>
    <w:p>
      <w:r>
        <w:rPr>
          <w:b/>
        </w:rPr>
        <w:t xml:space="preserve">Quelle: </w:t>
      </w:r>
      <w:r>
        <w:t>https://mcp.opencaselaw.ch/entscheid/vd_findinfo_D_cision___2017___120</w:t>
      </w:r>
    </w:p>
    <w:p>
      <w:r>
        <w:t>FR: VD_FINDINFO Décision / 2017 / 120 du 9 février 2017</w:t>
      </w:r>
    </w:p>
    <w:p>
      <w:r>
        <w:t>IT: VD_FINDINFO Décision / 2017 / 120 del 9 febbraio 2017</w:t>
      </w:r>
    </w:p>
    <w:p>
      <w:pPr>
        <w:pStyle w:val="Heading2"/>
      </w:pPr>
      <w:r>
        <w:t>Regeste</w:t>
      </w:r>
    </w:p>
    <w:p>
      <w:r>
        <w:t>DÉCISION D'IRRECEVABILITÉ, DIRECTIVE{INJONCTION} | 292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interjeté en temps utile devant l’autorité compétente par la partie plaignante qui a qualité pour recourir (art. 382 al. 1 CPP) et satisfaisant aux conditions de forme prescrites (art. 385 al. 1 CP),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3.1</w:t>
      </w:r>
    </w:p>
    <w:p>
      <w:r>
        <w:t>supra). Ainsi, rien n’indique que A.________ appartiendrait à un cercle de personnes pouvant être identifiées sans difficulté et avec certitude comme les destinataires de l’injonction litigieuse. Pour le reste, il ne ressort aucunement du dossier que le prénommé aurait eu connaissance de cette injonction et de la commination qui l’accompagnait. En conséquence, les conditions d’application de l’art. 292 CP font manifestement défaut s’agissant de A.________.</w:t>
      </w:r>
    </w:p>
    <w:p>
      <w:r>
        <w:rPr>
          <w:b/>
        </w:rPr>
        <w:t>E. 3.2.1</w:t>
      </w:r>
    </w:p>
    <w:p>
      <w:r>
        <w:t>La recourante fait en premier lieu grief au Ministère public d’avoir retenu que Z.________ ne pouvait être considérée comme une destinataire de l’injonction comprise dans les ordonnances des 29 janvier et 31 mars 2014 dans la mesure où elle ne faisait alors plus partie du [...]. Elle soutient que, même à considérer que l’intéressée n’était pas visée par l’injonction en question, le Ministère public aurait dû à tout le moins s’interroger sur la manière dont elle avait pu être informée de l’existence d’une procédure pendante devant le [...] et de la date des audiences alors même que le [...] ne pouvait communiquer ces informations.</w:t>
      </w:r>
    </w:p>
    <w:p>
      <w:r>
        <w:rPr>
          <w:b/>
        </w:rPr>
        <w:t>E. 3.2.2</w:t>
      </w:r>
    </w:p>
    <w:p>
      <w:r>
        <w:t>En l’espèce, le Procureur a considéré à bon droit que Z.________, qui n’a jamais été inscrite au Registre du commerce pour le compte du [...] et n’a appartenu qu’à la [...] de cette association, n’en était pas un organe et, partant, n’était pas l’une des destinataires de l’injonction comprise dans les ordonnances des 29 janvier et 31 mars 2014. De surcroît, il ne ressort aucunement du dossier que cette injonction avec menace de la mise en application de l’art. 292 CP adressée au [...] aurait été communiquée à Z.________, la recourante ne prétendant pas, pour sa part, que la preuve d’un tel fait pourrait être apportée. On relèvera enfin que, contrairement à ce que soutient la recourante, le Ministère public n’avait pas à s’interroger sur les circonstances dans lesquelles Z.________ aurait pu avoir connaissance d’informations relatives à la procédure pendante devant le [...], dès lors que la plainte du 7 novembre 2016 était spécifiquement et exclusivement dirigée contre la prénommée. Il découle de ce qui précède que Z.________ n’était pas l’une des destinataires de l’injonction litigieuse et qu’elle n’avait par ailleurs pas connaissance de la commination qui l’accompagnait. Partant, elle ne saurait faire l’objet d’une condamnation fondée sur l’art. 292 CP.</w:t>
      </w:r>
    </w:p>
    <w:p>
      <w:r>
        <w:rPr>
          <w:b/>
        </w:rPr>
        <w:t>E. 3.3.1</w:t>
      </w:r>
    </w:p>
    <w:p>
      <w:r>
        <w:t>La recourante fait en deuxième lieu grief au Ministère public de ne pas avoir examiné l’éventuelle appartenance de A.________ au cercle des destinataires de l’injonction comprise dans les ordonnances des 29 janvier et 31 mars 2014.</w:t>
      </w:r>
    </w:p>
    <w:p>
      <w:r>
        <w:rPr>
          <w:b/>
        </w:rPr>
        <w:t>E. 3.3.2</w:t>
      </w:r>
    </w:p>
    <w:p>
      <w:r>
        <w:t>En l’espèce, A.________ est inscrit depuis mars 2010 au Registre du commerce en tant que directeur du [...], avec signature collective à deux. La recourante ne prétend toutefois pas que l’intéressé serait un organe du [...] auquel l’injonction en question devrait être considérée comme ayant été valablement signifiée sous la menace de l’application de l’art. 292 CP, comme cela pourrait être le cas lorsqu’une commination adressée à une société anonyme ne peut avoir d’autre destinataire que l’administrateur unique de cette société (cf. chiffre</w:t>
      </w:r>
    </w:p>
    <w:p>
      <w:r>
        <w:rPr>
          <w:b/>
        </w:rPr>
        <w:t>E. 4</w:t>
      </w:r>
    </w:p>
    <w:p>
      <w:r>
        <w:t>La recourante soutient enfin que la question de l’éventuelle application de l’art. 102 CP se poserait dans la présente cause, dans la mesure où celle-ci pourrait impliquer une violation des normes de la Loi fédérale contre la concurrence déloyale (LCD). Elle prétend à cet égard que le [...] n’aurait pas pris toutes les mesures internes nécessaires à l’observation de l’injonction litigieuse et que ce manque d’organisation pourrait lui causer un dommage financier en matière de sponsoring et de contrats publicitaires. Toutefois, B.________ perd de vue que sa plainte du 7 novembre 2016 était spécifiquement dirigée contre Z.________ et A.________ pour insoumission à une décision de l’autorité. Partant, le Ministère public n’avait pas à rechercher d’éventuelles violations de la LCD, dont la plainte en question ne faisait aucune mention. En outre, on relèvera que l’art. 102 al. 1 CP ne s’applique qu’à la commission de crimes ou de délits, tandis que l’al. 2 de cette disposition, invoqué par B.________, ne trouve désormais plus application s’agissant d’infractions à la LCD.</w:t>
      </w:r>
    </w:p>
    <w:p>
      <w:r>
        <w:rPr>
          <w:b/>
        </w:rPr>
        <w:t>E. 5</w:t>
      </w:r>
    </w:p>
    <w:p>
      <w:r>
        <w:t>Compte tenu de ce qui précède, la Cour de céans peut se dispenser d’examiner le grief de la recourante relatif au for de l’action pénale, dont le Ministère public a retenu qu’il ne pouvait se trouver en Suisse.</w:t>
      </w:r>
    </w:p>
    <w:p>
      <w:r>
        <w:rPr>
          <w:b/>
        </w:rPr>
        <w:t>E. 6</w:t>
      </w:r>
    </w:p>
    <w:p>
      <w:r>
        <w:t>Il résulte de ce qui précède que le recours, manifestement mal fondé, doit être rejeté sans autre échange d'écritures (art. 390 al. 2 CPP) et l'ordonnance du 16 janvier 2017 confirmée. Les frais de la procédure de recours, constitués en l’espèce de l'émolument d'arrêt (art. 422 al. 1 CPP), par 1’100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16 janvier 2017 est confirmée. III. Les frais d’arrêt, par 1’100 fr. (mille cent francs), sont mis à la charge de la recourante. IV. L’arrêt est exécutoire. Le président :               Le greffier : Du Le présent arrêt, dont la rédaction a été approuvée à huis clos, est notifié, par l'envoi d'une copie complète, à : - Me Inès Feldmann, avocate (pour B.________),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