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933 vom 29. Dezember 2016</w:t>
      </w:r>
    </w:p>
    <w:p>
      <w:r>
        <w:t>VD Tribunal cantonal, 2016-12-29, FR</w:t>
      </w:r>
    </w:p>
    <w:p>
      <w:r>
        <w:rPr>
          <w:b/>
        </w:rPr>
        <w:t xml:space="preserve">Quelle: </w:t>
      </w:r>
      <w:r>
        <w:t>https://mcp.opencaselaw.ch/entscheid/vd_findinfo_D_cision___2016___933</w:t>
      </w:r>
    </w:p>
    <w:p>
      <w:r>
        <w:t>FR: VD_FINDINFO Décision / 2016 / 933 du 29 décembre 2016</w:t>
      </w:r>
    </w:p>
    <w:p>
      <w:r>
        <w:t>IT: VD_FINDINFO Décision / 2016 / 933 del 29 dicembre 2016</w:t>
      </w:r>
    </w:p>
    <w:p>
      <w:pPr>
        <w:pStyle w:val="Heading2"/>
      </w:pPr>
      <w:r>
        <w:t>Regeste</w:t>
      </w:r>
    </w:p>
    <w:p>
      <w:r>
        <w:t>RISQUE DE RÉCIDIVE, DÉTENTION PROVISOIRE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Z.________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w:t>
      </w:r>
    </w:p>
    <w:p>
      <w:r>
        <w:t>Le recourant, qui ne conteste pas l’existence de soupçons suffisants à son encontre, nie en revanche l’existence d’un risque de fuite.</w:t>
      </w:r>
    </w:p>
    <w:p>
      <w:r>
        <w:rPr>
          <w:b/>
        </w:rPr>
        <w:t>E. 3.1</w:t>
      </w:r>
    </w:p>
    <w:p>
      <w:r>
        <w:t>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 le maintien en détention ne peut ainsi se justifier pour ce motif que si le pronostic est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tel risque peut aussi se fonder sur les infractions faisant l'objet de la procédure pénale en cours, si le prévenu est fortement soupçonné – avec une probabilité confinant à la certitude – de les avoir commises (ATF 137 IV 84 consid.</w:t>
      </w:r>
    </w:p>
    <w:p>
      <w:r>
        <w:rPr>
          <w:b/>
        </w:rPr>
        <w:t>E. 3.2</w:t>
      </w:r>
    </w:p>
    <w:p>
      <w:r>
        <w:t>En l’occurrence, les premiers juges ont admis l’existence d’un risque de réitération concret, cela nonobstant l’absence d’antécédents en la matière. En effet, ils ont constaté que le recourant, bien que contestant être attiré par les enfants, avait admis consommer de la pornographie enfantine et en retirer de l’excitation, ainsi qu’avoir caressé le sexe de sa victime car il y avait eu une « opportunité ». Dans ces circonstances qualifiées d’inquiétantes, les magistrats ont considéré que l’on pouvait craindre que le prévenu minimise son attirance pour les enfants et qu’il commette à nouveau des actes d’ordre sexuel de nature pédophile, au cas où une « opportunité » se présenterait, étant souligné que l'expertise psychiatrique qui serait mise en œuvre par le Parquet permettrait d'évaluer la nature et l'importance de ce risque de réitération. Cette appréciation ne prête pas le flanc à la critique et doit être confirmée. Au vu de l’importance du bien juridique protégé, à savoir l'intégrité sexuelle d'enfants, on ne saurait prendre un tel risque avant de disposer des premières conclusions de l’expertise psychiatrique à venir qui permettront d'évaluer de manière plus précise la nature et l'importance de ce risque en cours d’enquête.</w:t>
      </w:r>
    </w:p>
    <w:p>
      <w:r>
        <w:rPr>
          <w:b/>
        </w:rPr>
        <w:t>E. 3.3</w:t>
      </w:r>
    </w:p>
    <w:p>
      <w:r>
        <w:t>Dans la mesure où la détention provisoire est justifiée par un risque de réitération et que les conditions de l'art. 221 al. 1 CPP sont alternatives, il n’y a pas lieu d’examiner si la détention provisoire s’imposerait également en raison des risques de fuite et de collusion (Moreillon/Parein-Reymond, Code de procédure pénale, 2 e éd., Bâle 2016, n. 7 ad art. 221 CPP et la réf. citée).</w:t>
      </w:r>
    </w:p>
    <w:p>
      <w:r>
        <w:rPr>
          <w:b/>
        </w:rPr>
        <w:t>E. 4</w:t>
      </w:r>
    </w:p>
    <w:p>
      <w:r>
        <w:t>Il résulte de ce qui précède que le recours doit être rejeté sans autres échanges d’écritures (art. 390 al. 2 CPP) et l’ordonnance entreprise confirmée. Les frais de la procédure de recours, constitués en l’espèce de l’émolument d'arrêt, par 660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Z.________,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12 décembre 2016 est confirmée. III. L’indemnité allouée au défenseur d’office du recourant est fixée à 583 fr. 20 (cinq cent huitante-trois francs et vingt centimes). IV. Les frais d’arrêt, par 660 fr. (six cent soixante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se soit améliorée. VI. L’arrêt est exécutoire. Le président :               La greffière : Du Le présent arrêt, dont la rédaction a été approuvée à huis clos, est notifié, par l'envoi d'une copie complète, à : - Me Alexis Lafranchi, avocat (pour Z.________), - Ministère public central, et communiqué à : - Mme la Présidente du Tribunal des mesures de contrainte, - M. le Procureur de l'arrondissement de l'Est vaudois, - Me Coralie Devaud, avocate (pour  H.________)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