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93 vom 3. Februar 2016</w:t>
      </w:r>
    </w:p>
    <w:p>
      <w:r>
        <w:t>VD Tribunal cantonal, 2016-02-03, FR</w:t>
      </w:r>
    </w:p>
    <w:p>
      <w:r>
        <w:rPr>
          <w:b/>
        </w:rPr>
        <w:t xml:space="preserve">Quelle: </w:t>
      </w:r>
      <w:r>
        <w:t>https://mcp.opencaselaw.ch/entscheid/vd_findinfo_D_cision___2016___93</w:t>
      </w:r>
    </w:p>
    <w:p>
      <w:r>
        <w:t>FR: VD_FINDINFO Décision / 2016 / 93 du 3 février 2016</w:t>
      </w:r>
    </w:p>
    <w:p>
      <w:r>
        <w:t>IT: VD_FINDINFO Décision / 2016 / 93 del 3 febbraio 2016</w:t>
      </w:r>
    </w:p>
    <w:p>
      <w:pPr>
        <w:pStyle w:val="Heading2"/>
      </w:pPr>
      <w:r>
        <w:t>Regeste</w:t>
      </w:r>
    </w:p>
    <w:p>
      <w:r>
        <w:t>INFRACTIONS CONTRE L'HONNEUR, PRESCRIPTION, FAUX INTELLECTUEL DANS LES TITRES, CALCUL DU DÉLAI | 173 CP, 178 CP, 251 CP, 98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les parties plaignantes qui ont qualité pour recourir (art. 382 al. 1 CPP), le recours est recevable.</w:t>
      </w:r>
    </w:p>
    <w:p>
      <w:r>
        <w:rPr>
          <w:b/>
        </w:rPr>
        <w:t>E. 2</w:t>
      </w:r>
    </w:p>
    <w:p>
      <w:r>
        <w:t>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Figurent au nombre des empêchements définitifs de procéder, au sens de l’art. 310 al. 1 let. b CPP, l’incompétence à raison du lieu ou de la matière (art. 23 et 27 CPP), la renonciation à porter plainte pour les infractions poursuives sur plainte uniquement (art. 30 al. 5 CP), l’immunité absolue (art. 7 al. 2 let. a CPP pour les autorités cantonales), ainsi que les cas d’extinction de l’action publique survenant avant la saisine du ministère public, tels que le décès de la personne concernée, l’incapacité pénale, l’amnistie, l’abrogation de la loi pénale, le retrait de la plainte, la prescription de l’action publique, la règle ne bis in idem (Moreillon, Parein-Reymond, Petit commentaire du Code de procédure pénale, Bâle 2013, n. 13 ad art. 310 CPP, p. 894, et les références citées).</w:t>
      </w:r>
    </w:p>
    <w:p>
      <w:r>
        <w:rPr>
          <w:b/>
        </w:rPr>
        <w:t>E. 2.1</w:t>
      </w:r>
    </w:p>
    <w:p>
      <w:r>
        <w:t>p. 133 - 134).</w:t>
      </w:r>
    </w:p>
    <w:p>
      <w:r>
        <w:rPr>
          <w:b/>
        </w:rPr>
        <w:t>E. 3.1</w:t>
      </w:r>
    </w:p>
    <w:p>
      <w:r>
        <w:t>Invoquant une violation des art. 178 et 98 CP, les recourants contestent l’opinion du Ministère public selon laquelle l’action pénale serait prescrite depuis juillet et août 2014.</w:t>
      </w:r>
    </w:p>
    <w:p>
      <w:r>
        <w:rPr>
          <w:b/>
        </w:rPr>
        <w:t>E. 3.2.1</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Corboz, Les infractions en droit suisse, 3 e éd., vol. I, Berne 2010, n. 42 ad art.173 CP).</w:t>
      </w:r>
    </w:p>
    <w:p>
      <w:r>
        <w:rPr>
          <w:b/>
        </w:rPr>
        <w:t>E. 3.2.2</w:t>
      </w:r>
    </w:p>
    <w:p>
      <w:r>
        <w:t>Aux termes de l’art. 98 CP, la prescription court (a) dès le jour où l’auteur a exercé son activité coupable. (b) dès le jour du dernier acte si cette activité s’est exercée à plusieurs reprises, (c) dès  le jour où les agissements coupables ont cessé s’ils ont eu une certaine durée. En vertu l’art. 98 let. a CP, le délai court à partir du jour où l’auteur exerce son activité coupable, indépendamment du moment où le résultat délictueux se produit (ATF 122 IV 61 consid. 2a/aa ; ATF 102 IV 79, JT 1977 IV 75). Lorsque plusieurs auteurs ou participants secondaires n’agissent pas simultanément, la prescription commence à courir, pour tous, dès le moment où le dernier acte nécessaire a été commis (Dupuis et al., op. cit., n. 4 ad art. 98 CP, p. 553, et les références citées). Selon l'art. 178 al. 1 CP, pour les délits contre l'honneur, l'action pénale se prescrit par quatre ans. Le délai de prescription court dès la commission de l’infraction, et non pas dès la connaissance de l’auteur comme c’est le cas pour le dépôt de la plainte. En cas d’infractions contre l’honneur répétées à l’encontre de la même victime, il n’y a pas d’unité quant à la prescription. Celle-ci court pour chacune des infractions dès le jour de sa commission (Dupuis et al., Petit Commentaire du Code pénal, Bâle 2012, n. 2 ad art. 178 CP, et les références citées ; ATF 119 IV 199). Le délai péremptoire pour porter plainte reste régi par l'art. 31 CP (art. 178 al. 2 CP). Il est donc de trois mois et court du jour où l'ayant droit a connu l'infraction et son auteur (Corboz, op. cit, n. 89 ad art. 173 CP).</w:t>
      </w:r>
    </w:p>
    <w:p>
      <w:r>
        <w:rPr>
          <w:b/>
        </w:rPr>
        <w:t>E. 3.3</w:t>
      </w:r>
    </w:p>
    <w:p>
      <w:r>
        <w:t>En l’espèce, les auteurs des allégations figurant dans les rapports de visite des 21 et 29 juillet 2010 ne peuvent pas être déterminés de manière certaine. Leur identité est toutefois déterminable, les pièces en question mentionnant les initiales des personnes présentes (cf. P. 8/11, n° 103b et 125). Sans doute certaines des personnes présentes lors de ces séances n’ont-elles plus joué par la suite un rôle actif dans la diffusion des propos litigieux. Il n’en demeure pas moins vrai qu’une ou plusieurs d’entre elles ont, selon toute vraisemblance, décidé, autorisé et contribué à la production en justice, le 1 er juin 2015, du bordereau comportant lesdites pièces (P. 8/11) ainsi qu’aux allégations incriminées contenues dans les réponses de la banque du 1 er juin 2015 (P. 8/10 all. 332 à 346) et du 18 juin 2015 (P. 8/13, all. 317 à 328). La propagation de propos attentatoires à l’honneur est en principe elle-même diffamatoire même si elle intervient par le moyen d’une citation (ATF 118 IV 153). La production en justice de pièces antérieures de plusieurs années peut être assimilée à une telle propagation. Le délai de prescription de l’art. 178 al. 1 CP a ainsi commencé à courir en juin 2015, qu’il s’agisse des allégués figurant dans les réponses de la Banque H.________ du 1 er et du 18 juin 2015 ou des pièces établies en 2010 mais produites le 1 er juin 2015 seulement (P. 8/11). Il importe à cet égard de distinguer les actes commis en 2010 de ceux commis en 2015 et le procureur ne pouvait pas sans autre considérer d’emblée que l’intégralité des faits rapportés dans les plaintes pénales étaient prescrits. Il lui appartiendra par conséquent d’ouvrir une instruction pénale et d’identifier les auteurs des allégations incriminées, le caractère attentatoire à l’honneur de certaines d’entre elles ne pouvant pas être exclu d’emblée.</w:t>
      </w:r>
    </w:p>
    <w:p>
      <w:r>
        <w:rPr>
          <w:b/>
        </w:rPr>
        <w:t>E. 4.1</w:t>
      </w:r>
    </w:p>
    <w:p>
      <w:r>
        <w:t>Les recourants reprochent également au procureur de ne pas avoir envisagé l’infraction de faux dans les titres, alors que leurs plaintes réservaient toute infraction qui serait révélée dans le cadre de l’enquête.</w:t>
      </w:r>
    </w:p>
    <w:p>
      <w:r>
        <w:rPr>
          <w:b/>
        </w:rPr>
        <w:t>E. 4.2</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(arrêts 6B_367/2007 du 10 octobre 2007 consid. 4.2, non publié in ATF 133 IV 303; 6S.156/2006 du 24 novembre 2006 consid. 4.1 non publié in ATF 133 IV 36; ATF 132 IV 12 consid. 8.1 p. 14 - 15; 129 IV 130 consid.</w:t>
      </w:r>
    </w:p>
    <w:p>
      <w:r>
        <w:rPr>
          <w:b/>
        </w:rPr>
        <w:t>E. 4.3</w:t>
      </w:r>
    </w:p>
    <w:p>
      <w:r>
        <w:t>En l’espèce, le procès-verbal relatif à la séance du 21 juillet 2010 (P. 8/11 n° 103b) rapporte les difficultés que les membres de la direction de la Banque H.________ de F.________ estimaient rencontrer dans le dossier concernant A.K.________ et les sociétés qui avaient contracté un emprunt hypothécaire. Les propos qui ont été tenus lors de cette séance ont été présentés au comité d’audit du Conseil d’administration (cf. P. 8/11 n° 111). De même, les informations relatives aux déclarations faites par A.K.________ ont été examinées par la préposée à la lutte contre le blanchiment d’argent au sein de la Banque H.________, laquelle préposée se réfère expressément aux propos du prénommé (P. 8/11). Le document en question paraît ainsi avoir été examiné par différents organes de la Banque H.________ de F.________. Une certaine valeur probante paraît ainsi pouvoir leur être accordée. Dans ces circonstances, on ne saurait dénier la qualité de titres aux documents produits par la banque à l’appui de sa réponse du 1 er juin 2015, titres qui, tout en émanant de leur auteur apparent, pourraient être mensongers dans la mesure où leur contenu ne correspondrait pas à la réalité.</w:t>
      </w:r>
    </w:p>
    <w:p>
      <w:r>
        <w:rPr>
          <w:b/>
        </w:rPr>
        <w:t>E. 4.4</w:t>
      </w:r>
    </w:p>
    <w:p>
      <w:r>
        <w:t>Vu l’existence de soupçons suffisants de diffamation et de faux dans les titres, les conditions posées par l’art. 310 al. 1 let. a et b CPP ne sont pas réunies, et c’est à tort que le procureur n’a pas instruit les faits rapportés dans les plaintes pénales. Il lui appartiendra par conséquent d’ouvrir une instruction pénale en raison de ces faits.</w:t>
      </w:r>
    </w:p>
    <w:p>
      <w:r>
        <w:rPr>
          <w:b/>
        </w:rPr>
        <w:t>E. 5</w:t>
      </w:r>
    </w:p>
    <w:p>
      <w:r>
        <w:t>Il résulte de ce qui précède que le recours doit être admis et l’ordonnance attaquée annulée. Le dossier de la cause sera renvoyé au Ministère public de l'arrondissement de La Côte pour qu’il procède dans le sens des considérants. Les recourants obtenant gain de cause, les frais de la procédure de recours, constitués de l’émolument d'arrêt (art. 422 al. 1 CPP), par 990 fr. (art. 20 al. 1 TFIP [Tarif des frais de procédure et indemnités en matière pénale du 28 septembre 2010; RSV 312.03.1]), seront laissés à la charge de l’Etat (art. 428 al. 4 CPP). S’agissant des dépens réclamés par les recourants, il leur appartiendra, le cas échéant, d’adresser à la fin de la procédure leurs prétentions à l’autorité pénale compétente selon l’art. 433 al. 2 CPP (CREP 16 avril 2013/279 consid. 4 et les références citées). Par ces motifs, la Chambre des recours pénale prononce : I. Le recours est admis. II. L’ordonnance du 24 septembre 2015 est annulée. III. Le dossier de la cause est renvoyé au Ministère public de l’arrondissement de La Côte pour qu’il procède dans les sens des considérants. IV. Les frais du présent arrêt, par 990 fr. (neuf cent nonante francs), sont laissés à la charge de l’Etat. V. Le présent arrêt est exécutoire. Le président :               Le greffier : Du Le présent arrêt, dont la rédaction a été approuvée à huis clos, est notifié, par l'envoi d'une copie complète, à : - Me Olivier Righetti, avocat (pour A.K.________, U.________ Sàrl et A.K.________ &amp; Cie 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