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89 vom 3. Februar 2016</w:t>
      </w:r>
    </w:p>
    <w:p>
      <w:r>
        <w:t>VD Tribunal cantonal, 2016-02-03, FR</w:t>
      </w:r>
    </w:p>
    <w:p>
      <w:r>
        <w:rPr>
          <w:b/>
        </w:rPr>
        <w:t xml:space="preserve">Quelle: </w:t>
      </w:r>
      <w:r>
        <w:t>https://mcp.opencaselaw.ch/entscheid/vd_findinfo_D_cision___2016___89</w:t>
      </w:r>
    </w:p>
    <w:p>
      <w:r>
        <w:t>FR: VD_FINDINFO Décision / 2016 / 89 du 3 février 2016</w:t>
      </w:r>
    </w:p>
    <w:p>
      <w:r>
        <w:t>IT: VD_FINDINFO Décision / 2016 / 89 del 3 febbraio 2016</w:t>
      </w:r>
    </w:p>
    <w:p>
      <w:pPr>
        <w:pStyle w:val="Heading2"/>
      </w:pPr>
      <w:r>
        <w:t>Regeste</w:t>
      </w:r>
    </w:p>
    <w:p>
      <w:r>
        <w:t>FAUX INTELLECTUEL DANS LES TITRES, FAUX MATÉRIEL DANS LES TITRES, CLASSEMENT DE LA PROCÉDURE | 251 ch. 1 CP, 319 al. 1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 RS 312.0) dans les dix jours devant l’autorité de recours (art. 322 al. 2 et 396 al. 1 CPP; cf. art. 20 al. 1 let. b CPP), qui, dans le canton de Vaud, est la Chambre des recours pénale du Tribunal cantonal (art. 13 LVCPP [loi vaudoise d’introduction du Code de procédure pénale suisse; RSV 312.01]; art. 80 LOJV [loi vaudoise d’organisation judiciaire; RSV 173.01]). En l'espèce, interjeté en temps utile, devant l’autorité compétente, par la partie plaignante, qui a qualité pour recourir (art. 382 al. 1 CPP), et satisfaisant aux conditions de forme prescrites (art. 385 al. 1 CPP), le recours est recevable.</w:t>
      </w:r>
    </w:p>
    <w:p>
      <w:r>
        <w:rPr>
          <w:b/>
        </w:rPr>
        <w:t>E. 2.1</w:t>
      </w:r>
    </w:p>
    <w:p>
      <w:r>
        <w:t>La recourante soutient que la réalisation du dessein spécial de l’art. 251 ch. 1 CP ne pouvait pas être écartée à ce stade, les circonstances démontrant au contraire que la falsification des documents litigieux aurait pu permettre à [...] d’obtenir un avantage illicite, en lui donnant le moyen de prouver, dans le cadre de la procédure civile en cours, que le licenciement de la recourante n’était pas abusif et qu’elle ne s’était pas rendue coupable de mobbing à son égard.</w:t>
      </w:r>
    </w:p>
    <w:p>
      <w:r>
        <w:rPr>
          <w:b/>
        </w:rPr>
        <w:t>E. 2.2.1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consid. 4.1.1 ; TF 1B_272/2011 du 22 mars 2012 consid. 3.1.1). Le principe in dubio pro duriore exige donc simplement qu'en cas de doute, la procédure se poursuive. Pratiquement, une mise en accusation s'impose lorsqu'une condamnation apparaît plus vraisemblable qu'un acquittement (ATF 137 IV 219 consid. 7 ; ATF 138 IV 86 consid. 4.1.1 ; ATF 138 IV 186 consid. 4.1 ; TF 1B_272/2011 du 22 mars 2012 consid. 3.1.1).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24 novembre 2014/846 consid. 2.1 ; CREP 11 avril 2014/280 consid. 2a et les références citées).</w:t>
      </w:r>
    </w:p>
    <w:p>
      <w:r>
        <w:rPr>
          <w:b/>
        </w:rPr>
        <w:t>E. 2.2.2</w:t>
      </w:r>
    </w:p>
    <w:p>
      <w:r>
        <w:t>Le dessein d’obtenir un avantage illicite au sens de l’art. 251 ch. 1 CP doit notamment être retenu lorsque l’auteur crée un titre faux pour compléter ou améliorer des preuves (ATF 106 IV 41 ; Dupuis et al., Petit Commentaire du Code pénal, Bâle 2012, n. 56 ad art. 251 CP).</w:t>
      </w:r>
    </w:p>
    <w:p>
      <w:r>
        <w:rPr>
          <w:b/>
        </w:rPr>
        <w:t>E. 2.3</w:t>
      </w:r>
    </w:p>
    <w:p>
      <w:r>
        <w:t>En l’espèce, les adjonctions incriminées pourraient être interprétées en ce sens que la recourante ne donnait pas entière satisfaction du point de vue de la gestion des délais, qu’elle n’utilisait pas les différentes « plateformes » de manière optimale et qu’elle ne parvenait pas à s’en tenir à l’essentiel des informations auxquelles elle avait accès. Force est de constater que de telles assertions sont susceptibles de servir favorablement à [...] dans le cadre de la procédure judiciaire introduite à son encontre par F.________ pour licenciement abusif. L’existence d’un dessein visant à obtenir un avantage illicite, au sens de la jurisprudence précitée (ATF 106 IV 41), ne peut dans ces circonstances pas être exclue à ce stade. Au reste, il ressort de l’audition de L.________, entendue le 25 mars 2015 par le Procureur en qualité de personne à fournir des renseignements (cf. PV d’audition 2, lignes 62 ss), que la modification des documents litigieux était techniquement possible. On ne peut dès lors pas exclure que les mesures d’instruction requises permettent de reconstituer l’historique de modification de ces documents et de constater ainsi l’existence d’un faux. Il convient en conséquence de renvoyer le dossier de la cause au Ministère public pour qu’il procède à un complément d’instruction en ce sens.</w:t>
      </w:r>
    </w:p>
    <w:p>
      <w:r>
        <w:rPr>
          <w:b/>
        </w:rPr>
        <w:t>E. 3</w:t>
      </w:r>
    </w:p>
    <w:p>
      <w:r>
        <w:t>Il résulte de ce qui précède que le recours doit être admis, l’ordonnance attaquée annulée et le dossier de la cause renvoyé au Ministère public de l’arrondissement de Lausanne pour qu’il procède dans le sens des considérants. Les frais de la procédure de recours, constitués en l’espèce du seul émolument d’arrêt, par 660 fr. (art. 20 al. 1 TFIP [Tarif des frais de procédure et indemnités en matière pénale du 28 septembre 2010 ; RSV 312.03.1]), seront laissés à la charge de l’Etat (art. 423 al. 1 CPP). S’agissant des dépens réclamés par la recourante, il appartiendra, le cas échéant, à cette dernière d’adresser à la fin de la procédure ses prétentions à l’autorité pénale compétente selon l’art. 433 al. 2 CPP (CREP 16 avril 2013/279 consid. 4 et les références citées). Par ces motifs, la Chambre des recours pénale prononce : I. Le recours est admis. II. L’ordonnance du 2 décembre 2015 est annulée. III. Le dossier de la cause est renvoyé au Ministère public de l’arrondissement de Lausanne pour qu’il procède dans le sens des considérants. IV. Les frais d’arrêt, par 660 fr. (six cent soixante francs), sont laissés à la charge de l’Etat. V. Le présent arrêt est exécutoire. Le président :               Le greffier : Du Le présent arrêt, dont la rédaction a été approuvée à huis clos, est notifié, par l'envoi d'une copie complète, à : - Me Ludovic Turelli (pour Mme F.________), - Ministère public central ;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