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85 vom 3. Februar 2016</w:t>
      </w:r>
    </w:p>
    <w:p>
      <w:r>
        <w:t>VD Tribunal cantonal, 2016-02-03, FR</w:t>
      </w:r>
    </w:p>
    <w:p>
      <w:r>
        <w:rPr>
          <w:b/>
        </w:rPr>
        <w:t xml:space="preserve">Quelle: </w:t>
      </w:r>
      <w:r>
        <w:t>https://mcp.opencaselaw.ch/entscheid/vd_findinfo_D_cision___2016___85</w:t>
      </w:r>
    </w:p>
    <w:p>
      <w:r>
        <w:t>FR: VD_FINDINFO Décision / 2016 / 85 du 3 février 2016</w:t>
      </w:r>
    </w:p>
    <w:p>
      <w:r>
        <w:t>IT: VD_FINDINFO Décision / 2016 / 85 del 3 febbraio 2016</w:t>
      </w:r>
    </w:p>
    <w:p>
      <w:pPr>
        <w:pStyle w:val="Heading2"/>
      </w:pPr>
      <w:r>
        <w:t>Regeste</w:t>
      </w:r>
    </w:p>
    <w:p>
      <w:r>
        <w:t>RETRAIT{VOIE DE DROIT} | 386 al. 2 let. b CPP (CH), 393 al. 1 let. a CPP (CH)</w:t>
      </w:r>
    </w:p>
    <w:p>
      <w:pPr>
        <w:pStyle w:val="Heading2"/>
      </w:pPr>
      <w:r>
        <w:t>Erwägungen</w:t>
      </w:r>
    </w:p>
    <w:p>
      <w:r>
        <w:rPr>
          <w:b/>
        </w:rPr>
        <w:t>E. 2</w:t>
      </w:r>
    </w:p>
    <w:p>
      <w:r>
        <w:t>Par acte posté le 9 janvier 2016, B.________ a recouru contre cette ordonnance auprès de la Chambre des recours du Tribunal cantonal. Par pli recommandé du 18 janvier 2016, l'autorité de céans lui a imparti un délai au 8 février 2016 pour effectuer un dépôt de 550 fr. à titre de sûretés. Par courrier du 29 janvier 2016, B.________ a déclaré retirer son recours.</w:t>
      </w:r>
    </w:p>
    <w:p>
      <w:r>
        <w:rPr>
          <w:b/>
        </w:rPr>
        <w:t>E. 3</w:t>
      </w:r>
    </w:p>
    <w:p>
      <w:r>
        <w:t>L'écriture précitée du 29 janvier 2016 ayant été déposée après que le dossier de la cause a été transmis à la Chambre des recours pénale comme objet de sa compétence (art. 393 al. 1 let. a CPP [Code de procédure pénale suisse du 5 octobre 2007; RS 312.0]), le retrait de recours est valide au regard de l’art. 386 al. 2 let. b CPP. Il y a donc lieu d’en prendre acte et de rayer la cause du rôle. Le retrait du recours étant intervenu avant l'échéance du délai de paiement des sûretés,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 III. Les frais de la procédure de recours, par 330 fr. (trois cent trente francs), sont laissés à la charge de l'Etat. IV. Le présent arrêt est exécutoire. Le président :               La greffière : Du Le présent arrêt, dont la rédaction a été approuvée à huis clos, est notifié, par l'envoi d'une copie complète, à : - M. B.________, - Mme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