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842 vom 12. Januar 2017</w:t>
      </w:r>
    </w:p>
    <w:p>
      <w:r>
        <w:t>VD Tribunal cantonal, 2017-01-12, FR</w:t>
      </w:r>
    </w:p>
    <w:p>
      <w:r>
        <w:rPr>
          <w:b/>
        </w:rPr>
        <w:t xml:space="preserve">Quelle: </w:t>
      </w:r>
      <w:r>
        <w:t>https://mcp.opencaselaw.ch/entscheid/vd_findinfo_D_cision___2016___842</w:t>
      </w:r>
    </w:p>
    <w:p>
      <w:r>
        <w:t>FR: VD_FINDINFO Décision / 2016 / 842 du 12 janvier 2017</w:t>
      </w:r>
    </w:p>
    <w:p>
      <w:r>
        <w:t>IT: VD_FINDINFO Décision / 2016 / 842 del 12 gennaio 2017</w:t>
      </w:r>
    </w:p>
    <w:p>
      <w:pPr>
        <w:pStyle w:val="Heading2"/>
      </w:pPr>
      <w:r>
        <w:t>Regeste</w:t>
      </w:r>
    </w:p>
    <w:p>
      <w:r>
        <w:t>CLASSEMENT DE LA PROCÉDURE, ABUS DE CONFIANCE, CRÉANCE COMPENSANTE, ENRICHISSEMENT ILLÉGITIME | 138 CP,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382 al. 1 CPP), le recours est recevable.</w:t>
      </w:r>
    </w:p>
    <w:p>
      <w:r>
        <w:rPr>
          <w:b/>
        </w:rPr>
        <w:t>E. 2.1</w:t>
      </w:r>
    </w:p>
    <w:p>
      <w:r>
        <w:t>Invoquant une violation de l’art. 318 al. 2 CPP, le recourant reproche au procureur de ne pas avoir donné suite à certaines des réquisitions qu’il avait présentées le 24 mars 2016.</w:t>
      </w:r>
    </w:p>
    <w:p>
      <w:r>
        <w:rPr>
          <w:b/>
        </w:rPr>
        <w:t>E. 2.2</w:t>
      </w:r>
    </w:p>
    <w:p>
      <w:r>
        <w:t>Le Ministère public ne peut écarter une réquisition de preuve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6B_598/2013 du</w:t>
      </w:r>
    </w:p>
    <w:p>
      <w:r>
        <w:rPr>
          <w:b/>
        </w:rPr>
        <w:t>E. 2.3</w:t>
      </w:r>
    </w:p>
    <w:p>
      <w:r>
        <w:t>En l’espèce, la confrontation entre les parties et la confrontation entre l’intimé et le témoin V.________ apparaissaient inutiles, dès lors qu’elles n’étaient pas susceptibles d’apporter des éléments nouveaux décisifs, les intéressés s’étant exprimés de manière suffisante au cours de la procédure. Il en va de même de l’audition en qualité de témoin de H.________, qui, selon le recourant, devrait pouvoir attester que ce dernier était informé du fait que l’intimé se trouvait au Maroc. Ce point, en effet n’est pas de nature à influer sur le sort de la cause. 3. 3.1 Le recourant soutient en substance que le dossier renfermerait suffisamment d’éléments pour prononcer la mise en accusation de W.________ du chef d’abus de confiance. Il conteste en particulier le bien-fondé des créances alléguées par le prévenu, lequel aurait, partant, agi dans un dessein d’enrichissement illégitime. 3.2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 3.3 Se rend coupable d'abus de confiance, au sens de l'art. 138 ch. 1 al. 1 CP, celui qui, pour se procurer ou procurer à un tiers un enrichissement illégitime, se sera approprié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(ATF 120 IV 276 consid. 2). S'approprie une chose mobilière celui qui l'incorpore économiquement à son patrimoine, que ce soit pour la conserver, l'utiliser ou l'aliéner, c'est-à-dire qui en dispose comme s'il en était le propriétaire (ATF 118 IV 148 consid. 2a). L'appropriation implique, d'une part, que l'auteur veut la dépossession durable du propriétaire et, d'autre part, qu'il entend s'attribuer la chose, au moins pour un temps. Cette volonté doit se manifester par des signes extérieurs ; le comportement par lequel l'auteur démontre clairement sa volonté de ne pas respecter les droits de celui qui lui fait confiance est l'élément caractéristique de l'abus de confiance (ATF 121 IV 23 consid. 1c ; ATF 118 IV 148 précité). Autrement dit, l'auteur, par un comportement objectivement constatable, se conduit comme s'il était le propriétaire de la chose et ceci en violation de l'accord qui lui a permis d'en acquérir la possession. Détruire la chose n'est pas une appropriation (Corboz, Les infractions en droit suisse, tome I, 2010, pp. 236-237). Du point de vue subjectif, l'auteur doit avoir agi intentionnellement et dans un dessein d'enrichissement illégitime, lequel peut être réalisé par dol éventuel (ATF 118 IV 32 consid. 2a; ATF 105 IV 29 consid. 3a). La condition du dessein d’enrichissement illégitime est remplie dès lors que l’auteur fait usage à son profit du bien confié sans avoir à tout instant la volonté et la possibilité de respecter les termes du rapport de confiance et l’affectation prévue par ce biais (ATF 133 IV 21 consid. 6.1 ; ATF 118 IV 27 consid. 3a, JdT 1994 IV 103). A contrario, cette condition n’est pas remplie en cas d’ Ersatzbereitschaft , par quoi la jurisprudence et la doctrine désignent l’état dans lequel se trouve l’auteur qui peut justifier d’avoir eu à tout moment la faculté et la volonté de restituer ou de transférer l’équivalent du bien confié (ATF 118 IV 32 consid. 2a). Il n’y a pas non plus de dessein d’enrichissement illégitime si l’auteur est en droit de faire valoir la compensation (ATF 105 IV 29 consid. 3a ; TF 6B_827/2008 du 7 janvier 2009 consid. 1.3). Selon la jurisprudence, en effet, il n’y a pas d’enrichissement illégitime lorsque l’auteur s’approprie une chose pour se payer ou tenter de se payer lui-même, s’il a une créance d’un montant au moins égal à la valeur de la chose qu’il s’est appropriée et s’il a vraiment agi en vue de se payer. Ce qui est déterminant, c’est uniquement l’intention de l’auteur de l’appropriation et sa conscience de l’illégitimité de l’enrichissement. Si elle fait défaut, notamment lorsque l’auteur est convaincu de l’existence de sa créance, celui-ci devra se voir appliquer l’art. 13 CP sur l’erreur sur les faits. Ce sont donc la volonté et la représentation de l’auteur qui sont décisives (ATF 105 IV 29 consid. 3a, et les références citées). 3.4 En l’espèce, s’agissant tout d’abord de la créance relative au bail de la place de stationnement, il est constant que le recourant a payé 375 fr. au prévenu, correspondant à trois mois de loyer. Le prévenu conteste en revanche avoir reçu un montant de 1'000 fr. du recourant à titre d’avance. Il ressort du dossier que, le 26 avril 2014, le recourant a effectué un retrait de 1'000 fr. au bancomat UBS d’Ouchy (P. 22/5). Le recourant n’a pas daté précisément la rencontre qu’il avait eue avec le prévenu et au cours de laquelle il lui aurait remis cette somme. Il l’a située entre fin avril et début mai 2014 (PV aud. 4, p. 1), soit à une époque proche du retrait d’espèces précité. Quant au témoin V.________, il n’a pas écarté la possibilité que le recourant ait remis de l’argent à l’intimé lors de cette rencontre, bien qu’il n’en ait pas vu (PV aud. 5). Au vu de ces éléments, on ne saurait, à ce stade, dénier toute crédibilité aux dires du recourant s’agissant de la remise de la somme de 1'000 francs. Les déclarations des parties sont également contradictoires en ce qui concerne une éventuelle créance de l’intimé relative à l’hébergement de la fille du recourant. Le Ministère public a retenu que l’intimé avait articulé une créance de 1'700 fr. de ce chef. Or, on ignore comment il est parvenu à ce montant. En effet, lors de l’audition de l’intimé du 13 novembre 2015, après un calcul avec le procureur précédemment en charge du dossier, il a été fait état d’un montant de 1'225 fr. (PV aud. 6, p. 3 lignes 89-90). Dans l’hypothèse la plus favorable à l’intimé, la créance de ce dernier s’élèverait à 2'350 fr. (1'500 fr. pour une année de loyer + 1'225 fr., soit 2'725 fr., sous déduction du montant de 375 fr. payé par le recourant). En vendant le véhicule 3'200 fr. (cf P. 10/1, p. 5), le prévenu pourrait avoir ainsi obtenu un enrichissement illégitime de 850 francs. Pour se justifier, l’intimé a indiqué qu’il avait rendu de nombreux services au recourant et que celui-ci l’avait toujours « mené en bateau pour ne rien payer » (PV aud. 6, p. 3). Ces explications ne sont toutefois pas convaincantes. Le prévenu, en effet, ne précise pas en quoi auraient consisté ces services et semble avoir cherché à se dédommager du comportement qu’il reproche au recourant. Il résulte de ce qui précède qu’il existe des indices suffisants pour engager l’accusation contre W.________ du chef d’abus de confiance, le dessein d’enrichissement ne pouvant pas être exclu à ce stade. Il importe que le prévenu puisse être jugé aux côtés du recourant dans l’hypothèse où celui-ci, à la suite de son opposition, devrait être déféré devant le Tribunal de police. 4. En définitive, le recours doit être admis et l’ordonnance de classement du 14 septembre 2016 annulée. Le dossier de la cause sera renvoyé au Ministère public de l’arrondissement de Lausanne pour qu’il procède dans le sens des considérants. Le recourant, qui obtient gain de cause et qui a procédé avec l’assistance d’un avocat de choix, a droit à une juste indemnité pour les dépenses occasionnées par la procédure, au sens de l’art. 433 CPP, applicable par renvoi de l’art. 436 al. 1 CPP (TF 6B_1065/2015 du 15 septembre 2016 consid. 3.2). Au vu du mémoire produit, elle sera fixée à 900 fr. (3 heures à 300 fr.), plus la TVA, par 72 fr., soit à 972 fr. au total. Elle sera laissée à la charge de l’Etat (art. 423 al. 1 CPP). Les frais de la procédure de recours, constitués en l’espèce de l’émolument d'arrêt, par 1’100 fr. (art. 20 al. 1 TFIP [tarif des frais judiciaires de procédure et indemnités en matière pénale du 28 septembre 2010 ; RSV 312.03.1]), seront également laissés à la charge de l’Etat (art. 423 al. 1 CPP). Par ces motifs, la Chambre des recours pénale prononce : I. Le recours est admis. II. L’ordonnance de classement du 14 septembre 2016 est annulée. III. Le dossier de la cause est renvoyé au Ministère public de l’arrondissement de Lausanne pour qu’il procède dans le sens de considérants. IV. L’indemnité due à R.________ pour la procédure de recours est fixée à 972 fr. (neuf cent septante-deux francs), à la charge de l’Etat. V. Les frais d’arrêt, par 1’100 fr. (mille cent francs) ainsi que l’indemnité allouée à R.________, par 972 fr. (neuf cent septante-deux francs), sont laissés à la charge de l’Etat. VI. L’arrêt est exécutoire. Le président :               Le greffier : Du Le présent arrêt, dont la rédaction a été approuvée à huis clos, est notifié, par l'envoi d'une copie complète, à : - Me Anne Dorthe, avocate (pour R.________), - M. W.________,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septembre 2013 consid. 3.1 ; ATF 136 I 229 consid. 5.3 ; Bénédict/Treccani, in : Kuhn/Jeanneret (éd.), Commentaire romand, Code de procédure pénale suisse, Bâle 2011, n. 23 ad art. 139 CPP).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elle annulera l’ordonnance de classement et renverra la cause au Ministère public (Cornu, in : Kuhn/Jeanneret (éd.), op. cit., n. 19 ad art. 318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