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816 vom 9. November 2016</w:t>
      </w:r>
    </w:p>
    <w:p>
      <w:r>
        <w:t>VD Tribunal cantonal, 2016-11-09, FR</w:t>
      </w:r>
    </w:p>
    <w:p>
      <w:r>
        <w:rPr>
          <w:b/>
        </w:rPr>
        <w:t xml:space="preserve">Quelle: </w:t>
      </w:r>
      <w:r>
        <w:t>https://mcp.opencaselaw.ch/entscheid/vd_findinfo_D_cision___2016___816</w:t>
      </w:r>
    </w:p>
    <w:p>
      <w:r>
        <w:t>FR: VD_FINDINFO Décision / 2016 / 816 du 9 novembre 2016</w:t>
      </w:r>
    </w:p>
    <w:p>
      <w:r>
        <w:t>IT: VD_FINDINFO Décision / 2016 / 816 del 9 novembre 2016</w:t>
      </w:r>
    </w:p>
    <w:p>
      <w:pPr>
        <w:pStyle w:val="Heading2"/>
      </w:pPr>
      <w:r>
        <w:t>Regeste</w:t>
      </w:r>
    </w:p>
    <w:p>
      <w:r>
        <w:t>CONTRAINTE{DROIT PÉNAL}, COMMANDEMENT DE PAYER, CLASSEMENT DE LA PROCÉDURE | 181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par conséquent recevable. En revanche, il ne sera pas tenu compte de l’écriture de M.________ du 4 novembre 2016 qui, déposée manifestement après l’expiration du délai de recours de dix jours, est irrecevable (CREP 23 août 2016/560 consid. 1.2).</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 e éd., Bâle 2014,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w:t>
      </w:r>
    </w:p>
    <w:p>
      <w:r>
        <w:rPr>
          <w:b/>
        </w:rPr>
        <w:t>E. 3</w:t>
      </w:r>
    </w:p>
    <w:p>
      <w:r>
        <w:t>janvier 1995, avoir souscrit une assurance responsabilité civile auprès de la G.________ Assurances pour une somme de 3'000'000 fr. (PV aud. 1, lignes 59-64). Le 12 janvier 2015, V.________, sa femme Q.________, présidente du conseil d’administration (PV aud. 1, lignes 56-57), et Z.________ avaient de nouveau abordé la question de la prescription à interrompre contre le recourant, en évoquant la responsabilité de l’administrateur de la société anonyme (art. 754 CO) (PV aud. 1, lignes 80-89). Le prévenu a précisé qu’il s’agissait de démontrer la culpa in contrahendo du recourant personnellement (PV aud. 1, lignes 155-156). Dans une lettre du 13 janvier 2015 à V.________ et Z.________, le prévenu confirmait que sa prochaine réquisition de poursuite – en tous points identique aux trois réquisitions antérieures établies par l’avocat [...], et dont la première faisait suite au jugement de la Cour civile du 19 mai 2011 (PV aud. 1, lignes 140-144) – porterait sur 4'500’0000 fr. avec intérêt à 5 % l’an dès le 1 er octobre 1997 (PV aud. 1, lignes 132-134). Le 22 janvier 2015 le prévenu écrivait à V.________ et Z.________ qu’ils réexamineraient ensemble l’opportunité du dépôt d’une plainte pénale contre le recourant s’agissant de sa prétendue fausse déclaration relativement à la conclusion d’une assurance RC et d’une action en responsabilité civile (PV aud. 1, lignes 185-185). Le prévenu a par ailleurs indiqué que le recourant refusait de « signer toute interruption de la prescription » (PV aud. 1, lignes 146-147).</w:t>
      </w:r>
    </w:p>
    <w:p>
      <w:r>
        <w:rPr>
          <w:b/>
        </w:rPr>
        <w:t>E. 3.1</w:t>
      </w:r>
    </w:p>
    <w:p>
      <w:r>
        <w:t>Le recourant soutient que le commandement de payer litigieux du 13 février 2015 serait constitutif de tentative de contrainte, dès lors qu’il estime ne pas être débiteur à titre personnel de la créance qui y figure.</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ATF 129 IV 6 consid. 3.4;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ATF 120 IV 17 consid. 2a/aa). Sur le plan subjectif, il faut que l'auteur ait agi avec conscience et volonté, soit au moins qu'il ait accepté l'éventualité que le procédé illicite employé entrave le destinataire dans sa liberté de décision (ATF 120 IV 17 consid. 2c; TF 6B_38/2011 du 26 avril 2011 consid. 2.2.1). Selon la jurisprudence du Tribunal fédéral,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le cas échant,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(TF 6S.853/2000 du 9 mai 2001 consid. 4c; TF 6B_281/2013 du 16 juillet 2013 consid. 1.1.2 et 1.2). En outre, il est de nature à porter atteinte au crédit professionnel du destinataire (TF 6B_281/2013 du 16 juillet 2013 consid. 1.2).</w:t>
      </w:r>
    </w:p>
    <w:p>
      <w:r>
        <w:rPr>
          <w:b/>
        </w:rPr>
        <w:t>E. 3.3</w:t>
      </w:r>
    </w:p>
    <w:p>
      <w:r>
        <w:t>En l’espèce, lors de son audition du 17 décembre 2015, l’avocat F.________ a expliqué qu’il avait été consulté par H.________ au mois d’octobre 2014 pour succéder à l’avocat [...] dans le cadre de la procédure divisant cette société d’avec M.________ Architectes SA, et qui durait depuis 17 ans (PV aud. 1, lignes 34-36 et 48-51). Le 23 décembre 2014, le directeur V.________ et l’un des administrateurs de H.________, Z.________, premier avocat de cette société coopérative, avaient fait part au prévenu d’un problème de prescription à interrompre contre le recourant, lequel aurait eu un comportement contraire au droit pénal en déclarant faussement, lors de la signature du contrat d’architecte le</w:t>
      </w:r>
    </w:p>
    <w:p>
      <w:r>
        <w:rPr>
          <w:b/>
        </w:rPr>
        <w:t>E. 3.4</w:t>
      </w:r>
    </w:p>
    <w:p>
      <w:r>
        <w:t>S’agissant de la créance qui fait l’objet du commandement de payer litigieux, elle correspond aux montants dus par M.________ Architectes SA à H.________ société coopérative, en vertu du dispositif de l’arrêt de la Cour civile du 12 août 2013 (P. 17/6). Le commandement de payer ne peut dès lors être considéré comme disproportionné quant à son montant. Quant au fait que le commandement de payer en cause était notifié non pas à M.________ Architectes SA, mais au recourant personnellement, le prévenu a fourni des explications satisfaisantes. Il en résulte que la démarche de F.________ visait à interrompre la prescription relativement à des prétentions que, selon toute vraisemblance, H.________ société coopérative, en tant que créancier social, pouvait avoir contre le recourant, du fait de sa responsabilité en qualité d’administrateur de M.________ Architectes SA (art. 754 CO). Vu la complexité de l’affaire sur le plan civil, la démarche incriminée ne peut être tenue pour abusive. Le prévenu avait ainsi des motifs suffisants pour faire notifier un commandement de payer au recourant personnellement. L’infraction de contrainte n’étant pas réalisée, c’est à bon droit que le Ministère public a rendu une ordonnance de classement. Enfin, les réquisitions de preuve présentées par le recourant durant le délai de prochaine clôture n’étaient pas pertinentes, car elles ne sont pas aptes à remettre en cause la justification, au moins sous l’angle de la vraisemblance, de la démarche visant à interrompre la prescription contre le recourant personnellement.</w:t>
      </w:r>
    </w:p>
    <w:p>
      <w:r>
        <w:rPr>
          <w:b/>
        </w:rPr>
        <w:t>E. 4</w:t>
      </w:r>
    </w:p>
    <w:p>
      <w:r>
        <w:t>. En définitive, le recours, manifestement mal fondé, doit être rejeté sans autres échanges d’écritures (art. 390 al. 2 CPP) et l’ordonnance de classement du 1 er septembre 2016 confirmée. Les frais de la procédure de recours, constitués du seul émolument d’arrêt, par 990 fr. (art. 20 al. 1 TFIP [tarif des frais de procédure et indemnités en matière pénale du 28 septembre 2010, RSV 312.03.1]), seront mis à la charge du recourant, qui succombe (art. 428 al. 1 CPP). Le montant de 550 fr. déjà versé par le recourant à titre de sûretés sera imputé sur les frais mis à sa charge (art. 383 al. 1 CPP ; art. 7 TFIP). Par ces motifs, la Chambre des recours pénale prononce : I. Le recours est rejeté. II. L’ordonnance du 1 er septembre 2016 est confirmée. III. Les frais de la procédure de recours, par 990 fr. (neuf cent nonante francs), sont mis à la charge de M.________. IV. Le montant de 550 fr. (cinq cent cinquante francs) déjà versé par M.________ à titre de sûretés est imputé sur les frais mis à sa charge au chiffre III ci-dessus. V. L’arrêt est exécutoire. Le président :               Le greffier : Du Le présent arrêt, dont la rédaction a été approuvée à huis clos, est notifié, par l'envoi d'une copie complète, à : - Me Olivier Bastien, avocat (pour F.________), - M.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