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793 vom 17. November 2016</w:t>
      </w:r>
    </w:p>
    <w:p>
      <w:r>
        <w:t>VD Tribunal cantonal, 2016-11-17, FR</w:t>
      </w:r>
    </w:p>
    <w:p>
      <w:r>
        <w:rPr>
          <w:b/>
        </w:rPr>
        <w:t xml:space="preserve">Quelle: </w:t>
      </w:r>
      <w:r>
        <w:t>https://mcp.opencaselaw.ch/entscheid/vd_findinfo_D_cision___2016___793</w:t>
      </w:r>
    </w:p>
    <w:p>
      <w:r>
        <w:t>FR: VD_FINDINFO Décision / 2016 / 793 du 17 novembre 2016</w:t>
      </w:r>
    </w:p>
    <w:p>
      <w:r>
        <w:t>IT: VD_FINDINFO Décision / 2016 / 793 del 17 novembre 2016</w:t>
      </w:r>
    </w:p>
    <w:p>
      <w:pPr>
        <w:pStyle w:val="Heading2"/>
      </w:pPr>
      <w:r>
        <w:t>Regeste</w:t>
      </w:r>
    </w:p>
    <w:p>
      <w:r>
        <w:t>DÉCISION D'IRRECEVABILITÉ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Interjeté dans le délai légal auprès de l’autorité compétente par la partie plaignante qui a qualité pour recourir (art. 382 al. 1 CPP), le recours est recevable.</w:t>
      </w:r>
    </w:p>
    <w:p>
      <w:r>
        <w:rPr>
          <w:b/>
        </w:rPr>
        <w:t>E. 1.2</w:t>
      </w:r>
    </w:p>
    <w:p>
      <w:r>
        <w:t>S'agissant de la requête du recourant tendant à la transmission de la présente cause au Tribunal fédéral pour jugement, il convient de relever que la Cour de céans, valablement saisie d'un recours dirigé contre une ordonnance de non-entrée en matière, ne peut renoncer à statuer sur celui-ci, à défaut de retrait du recours. Il appartiendra au recourant, le cas échéant, de recourir contre le présent arrêt auprès du Tribunal fédéral, conformément aux art. 78 ss LTF (loi du 17 juin 2005 sur le Tribunal fédéral ; RS 173.110).</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rPr>
          <w:b/>
        </w:rPr>
        <w:t>E. 3</w:t>
      </w:r>
    </w:p>
    <w:p>
      <w:r>
        <w:t>Le recourant paraît soutenir que Me X.________ se serait rendu coupable de calomnie et de discrimination raciale. Il considère par ailleurs que le Procureur D.________, également visé par une plainte pénale de sa part, était « totalement incompéten[t] pour juger cette affaire » (P. 6).</w:t>
      </w:r>
    </w:p>
    <w:p>
      <w:r>
        <w:rPr>
          <w:b/>
        </w:rPr>
        <w:t>E. 3.1</w:t>
      </w:r>
    </w:p>
    <w:p>
      <w:r>
        <w:t>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de même que celui qui aura propagé de telles accusations ou de tels soupçons, alors qu'il en connaissait l'inanité (art. 174 ch. 1 CP). Cette disposition protège la réputation d'être une personne honorable, c'est-à-dire de se comporter comme une personne digne a coutume de le faire selon les conceptions généralement reçues (ATF 132 IV 112 consid. 2.1 ;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 ATF 133 IV 308 consid. 8.5.1). Il ne suffit pas d'abaisser une personne dans la bonne opinion qu'elle a d'elle-même ou dans les qualités qu'elle croit avoir, notamment dans le cadre de ses activités professionnelles, artistiques, politiques ou sportives (ATF 119 IV 47 consid. 2a ; ATF 117 IV 27 consid. 2c ; ATF 116 IV 205 consid. 2, JdT 1992 IV 107 ; Dupuis et alii [éd.], Petit commentaire du Code pénal, Bâle 2012, n. 4 ad rem. prél. aux art. 173 à 178 CP et la doctrine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 ATF 133 IV 308 consid. 8.5.1).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 e éd., Lausanne 2011, n. 1.14 ad art. 173 CP). Selon l’art. 261bis CP,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 celui qui, dans le même dessein, aura organisé ou encouragé des actions de propagande ou y aura pris part (al. 3)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 celui qui aura refusé à une personne ou à un groupe de personnes, en raison de leur appartenance raciale, ethnique ou religieuse, une prestation destinée à l'usage public (al. 5), sera puni d'une peine privative de liberté de trois ans au plus ou d'une peine pécuniaire. Il faut considérer comme public tout propos ou comportement qui n’a pas lieu dans le cadre privé. Sont considérés comme privés, les propos qui ont lieu dans le cercle familial ou des amis ou dans un environnement de relations personnelles ou de confiance particulière. Savoir si cette condition est remplie dépend des circonstances concrètes, parmi lesquelles le nombre de personnes présentes peut jouer un rôle (ATF 130 IV 111, JdT 2005 IV 292). Il faut encore que le message, quelle qu'en soit la forme ou le support, s'en prenne à une ou plusieurs personnes en raison de leur appartenance raciale, ethnique ou religieuse. La liste est exhaustive (TF 6B_1017/2014 du 3 novembre 2015 consid. 2.1.1 et les réf. citées). Par religion, on vise un groupe de personnes qui se différencient par leurs croyances transcendantales communes (ibidem). Le message, adressé publiquement, doit inciter à la haine ou à la discrimination en raison de l'appartenance raciale, ethnique ou religieuse des personnes visées. Par inciter, il faut entendre le fait d'éveiller le sentiment de haine ou d'appeler à la discrimination (ATF 140 IV 102, JdT 2015 IV 52). La discrimination consiste à traiter injustement de façon moins favorable (ATF 124 IV 121 consid. 2b). Par haine, on entend une aversion telle qu'elle pousse à vouloir le mal de quelqu'un ou à se réjouir du mal qui lui arrive (ATF 126 IV 20 consid. 1f). La loi ne décrit pas plus précisément le contenu du message ; il suffit que le message soit propre à éveiller la haine ou à appeler à la discrimination. Les autres alinéas qui parlent d'abaisser, de dénigrer et de discriminer d'une façon qui porte atteinte à la dignité humaine permettent de mieux cerner l'idée. Le message doit atteindre la personne dans sa dignité humaine. Il doit la rendre méprisable, la rabaisser (TF 6S.148/2003 du 16 septembre 2003 consid. 2.5).</w:t>
      </w:r>
    </w:p>
    <w:p>
      <w:r>
        <w:rPr>
          <w:b/>
        </w:rPr>
        <w:t>E. 3.2</w:t>
      </w:r>
    </w:p>
    <w:p>
      <w:r>
        <w:t>En l'espèce, on relèvera tout d’abord que le fait qu’une plainte pénale ait été déposée par le recourant contre le Procureur D.________ ne suffit pas à faire naître une apparence de prévention (TF 1B_13/2015 du 1 er mai 2015 consid. 3.1 et les références citées). Ce dernier pouvait donc légitimement statuer sur la plainte du recourant. Cela étant, le Procureur a retenu que le contenu du courrier litigieux s'avérait licite et que Me X.________ s'était contenté de défendre les intérêts de sa cliente dans le cadre de la procédure. Cette lettre a notamment la teneur suivante (P. 5) : « Monsieur le Procureur, Il y a de cela un mois, vous avertissiez encore une fois M. T.________ qu'un nouvel écart ne serait plus toléré, et qu'il ne devait plus adresser de courrier ni à son épouse, ni à d'autres autorités. Le message paraissait compris, malgré un nouvel envoi subséquent, accompagné – il est vrai – de la promesse qu'il s'agirait du dernier. Or, comme l'on pouvait s'y attendre, voici que le précité a réitéré ses "avertissements", accompagnés de force commentaires dépréciatifs à l'égard de ma mandante, la qualifiant à nouveau – entre autres – de femme adultère ou de bourreau de ses enfants, et déplorant son comportement, celui de ses représentants et celui de l'autorité publique, dans un courrier de seize pages adressé à M. le Président [...] (annexé aux présentes lignes). Pour couronner le tout, M. T.________ informe ce dernier en avoir appelé à différents médias et autorités, violant à nouveau les engagements pris. Il me semble qu'il n'est pas nécessaire d'attendre d'autres manifestations pour démontrer le caractère pathologique et irrémédiablement incorrigible du prévenu. Ma mandante attend qu'un constat d'échec de la politique conciliante avec le prévenu soit dressé et que des mesures adéquates soient enfin prises pour faire cesser les atteintes à l'honneur et les pressions dont elle est victime, comme il le lui a été – pour ainsi dire – garanti lors de la dernière audience ». Le courrier litigieux ne comporte aucun propos calomnieux à l'égard du recourant. En effet, Me X.________ n'y accuse nullement T.________ de tenir une conduite contraire à l'honneur, mais fustige l'attitude de ce dernier dans le cadre d'une procédure en cours. Force est ainsi de constater, bien que le recourant puisse ressentir certains termes employés comme des attaques personnelles, que Me X.________ s'exprime en des termes acceptables de la part d'un avocat défendant les intérêts de sa cliente, à plus forte raison dans le cadre général d'un litige matrimonial pénible. On ne distingue pas davantage, dans ce courrier, d'incitation à la haine ou à la discrimination envers une personne ou un groupe de personnes en raison de leur appartenance raciale, ethnique ou religieuse. Plus précisément, cette lettre ne comprend aucune mention de la religion du recourant ni aucun terme propre à éveiller la haine ou à appeler à la discrimination de T.________. Les éléments constitutifs d'une infraction à l'art. 261bis CP font ainsi manifestement défaut en l'occurrence. Il découle de ce qui précède que le Procureur a, à bon droit, refusé d'entrer en matière concernant les infractions reprochées à Me X.________.</w:t>
      </w:r>
    </w:p>
    <w:p>
      <w:r>
        <w:rPr>
          <w:b/>
        </w:rPr>
        <w:t>E. 4</w:t>
      </w:r>
    </w:p>
    <w:p>
      <w:r>
        <w:t>En définitive, le recours, manifestement mal fondé, doit être rejeté sans autre échange d'écritures (art. 390 al. 2 CPP) et l'ordonnance du 12 octobre 2016 confirmée. Les frais de la procédure de recours, constitués en l’espèce du seul émolument d’arrêt (art. 422 al. 1 CPP), par 880 fr. (art. 20 al. 1 TFIP [tarif des frais de procédure et indemnités en matière pénal ; RSV 312.03.1]), seront mis à la charge du recourant, qui succombe (art. 428 al. 1 CPP). Par ces motifs, la Chambre des recours pénale prononce : I. Le recours est rejeté. II. L'ordonnance du 12 octobre 2016 est confirmée. III. Les frais d'arrêt, par 880 fr. (huit cent huitante francs), sont mis à la charge de T.________. IV. L’arrêt est exécutoire. Le président :               Le greffier : Du Le présent arrêt, dont la rédaction a été approuvée à huis clos, est notifié, par l'envoi d'une copie complète, à : -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