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772 vom 11. November 2016</w:t>
      </w:r>
    </w:p>
    <w:p>
      <w:r>
        <w:t>VD Tribunal cantonal, 2016-11-11, FR</w:t>
      </w:r>
    </w:p>
    <w:p>
      <w:r>
        <w:rPr>
          <w:b/>
        </w:rPr>
        <w:t xml:space="preserve">Quelle: </w:t>
      </w:r>
      <w:r>
        <w:t>https://mcp.opencaselaw.ch/entscheid/vd_findinfo_D_cision___2016___772</w:t>
      </w:r>
    </w:p>
    <w:p>
      <w:r>
        <w:t>FR: VD_FINDINFO Décision / 2016 / 772 du 11 novembre 2016</w:t>
      </w:r>
    </w:p>
    <w:p>
      <w:r>
        <w:t>IT: VD_FINDINFO Décision / 2016 / 772 del 11 novembre 2016</w:t>
      </w:r>
    </w:p>
    <w:p>
      <w:pPr>
        <w:pStyle w:val="Heading2"/>
      </w:pPr>
      <w:r>
        <w:t>Regeste</w:t>
      </w:r>
    </w:p>
    <w:p>
      <w:r>
        <w:t>DÉTENTION PROVISOIRE, RISQUE DE COLLUSION, RISQUE DE RÉCIDIVE, SOUPÇON | 221 al. 1 let. b CPP (CH), 221 al. 1 let. c CPP (CH), 393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W.________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2.2</w:t>
      </w:r>
    </w:p>
    <w:p>
      <w:r>
        <w:t>En l'espèce, le recourant conteste l'existence d'indices de culpabilité suffisants. S'agissant des faits dénoncés par D.________, celui-ci ne l'aurait pas mis en cause, mais aurait uniquement déclaré l'avoir aperçu durant la soirée. Il n'aurait pas non plus été mis en cause par N.________ qui a admis avoir participé à cette agression. S'agissant des faits dont B.K.________ aurait été victime, le recourant invoque la confusion liée à sa ressemblance avec son frère. Quant à A.K.________, il aurait formellement reconnu N.________ comme étant son agresseur et déclaré que W.________ ne faisait pas partie des agresseurs. S'agissant des faits dénoncés par T.________, W.________ a admis avoir été sur place, avoir vu le plaignant se faire sauter dessus, avoir fait fuir les deux agresseurs, puis avoir ramassé le porte-monnaie dans le but de le rendre immédiatement. Ces explications seraient compatibles avec les déclarations de la victime qui a indiqué que les trois individus dont faisait partie celui identifié comme l'un des frères [...] étaient arrivés après l'agression. S'agissant des incendies, rien ne permettrait de dire que le sac ait été en possession du recourant, ni que ce dernier ait pu faire usage des objets contenus dans celui-ci. En l'occurrence, à supposer que W.________ ne soit pas impliqué dans l'agression du 31 juillet 2016, il l'est très vraisemblablement dans celle du 18 septembre 2016. Il a en effet admis sa présence sur les lieux et avoir ramassé le porte-monnaie. En outre, il résulte du dossier que le recourant est coutumier des actes de violence et qu'il est bien connu des forces de l'ordre pour être souvent présent lors d'interventions de police à l'occasion de bagarres et d'autres agressions. En l'état, ces éléments rendent peu crédibles les dénégations du recourant et ne font au contraire que renforcer les soupçons dirigés contre lui. A cela s'ajoute que s'agissant des incendies, le recourant a admis s'être trouvé à côté d'un des véhicules incendiés. Certes, il a prétendu avoir voulu éteindre le feu. Toutefois, le 1 er août 2016, W.________ a été contrôlé en compagnie de plusieurs autres jeunes, alors que le groupe possédait un sac à dos contenant des objets permettant de créer des dispositifs d'allumage de feu. Or, la même nuit, les incendies, dont celui du véhicule précité, ont été commis. Au vu des éléments qui précèdent, il existe, à ce stade de la procédure, des indices suffisamment sérieux de culpabilité à l’encontre de W.________ pour justifier sa mise en détention provisoire.</w:t>
      </w:r>
    </w:p>
    <w:p>
      <w:r>
        <w:rPr>
          <w:b/>
        </w:rPr>
        <w:t>E. 3.1</w:t>
      </w:r>
    </w:p>
    <w:p>
      <w:r>
        <w:t>Le recourant conteste l’existence d’un risque de collusion (art. 221 al. 1 let. b CPP).</w:t>
      </w:r>
    </w:p>
    <w:p>
      <w:r>
        <w:rPr>
          <w:b/>
        </w:rPr>
        <w:t>E. 3.2</w:t>
      </w:r>
    </w:p>
    <w:p>
      <w:r>
        <w:t>et les références citées).</w:t>
      </w:r>
    </w:p>
    <w:p>
      <w:r>
        <w:rPr>
          <w:b/>
        </w:rPr>
        <w:t>E. 3.3</w:t>
      </w:r>
    </w:p>
    <w:p>
      <w:r>
        <w:t>En l’espèce, il ressort du dossier que des mesures d’investigation sont en cours pour identifier les protagonistes des diverses agressions et comprendre le rôle tenu par chacun. Il s’agit également de présenter les deux frères aux différentes victimes, afin de distinguer plus clairement l'activité de chacun. Il faut donc éviter que le recourant n'entrave l’instruction. Il serait en effet susceptible d’influencer non seulement les parties plaignantes et les autres personnes entendues pour qu’elles reviennent sur leurs déclarations, mais également celles qui devront le cas échéant encore être entendues. Compte tenu de sa propension à la violence et à l'intimidation, ce risque apparaît concret. Au vu de ce qui précède, le risque de collusion s'oppose, en l’état, à la levée de la détention provisoire du recourant.</w:t>
      </w:r>
    </w:p>
    <w:p>
      <w:r>
        <w:rPr>
          <w:b/>
        </w:rPr>
        <w:t>E. 4.1</w:t>
      </w:r>
    </w:p>
    <w:p>
      <w:r>
        <w:t>Le recourant conteste l’existence du risque de réitération (art. 221 al. 1 let. c CPP).</w:t>
      </w:r>
    </w:p>
    <w:p>
      <w:r>
        <w:rPr>
          <w:b/>
        </w:rPr>
        <w:t>E. 4.2</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(ATF 137 IV 84 consid. 3.2 ; TF 1B_249/2014 du 6 août 2014 consid. 3.2). Cependant, il convient de faire preuve de retenue dans l'appréciation du risque de récidive: le maintien en détention ne peut ainsi se justifier pour ce motif que si le pronostic est très défavorable et si les délits dont l'autorité redoute la réitération sont graves (ATF 137 IV 84 consid. 3.2). Ainsi, une possibilité hypothétique de réitération, ainsi que la probabilité que des infractions de peu d'importance soient à nouveau perpétrées ne suffisent pas pour justifier la détention provisoire (ATF 135 I 71 consid. 2.3). Un risque de récidive existe non seulement lorsqu'il y a sérieusement à craindre pour la vie et l'intégrité corporelle, mais également en cas d'infractions graves contre le patrimoine, telle l'escroquerie par métier (TF 1B_193/2015 du 17 juin 2015 consid. 2.1 et les arrêts cités). Un tel risque peut aussi se fonder sur les infractions faisant l'objet de la procédure pénale en cours, si le prévenu est fortement soupçonné – avec une probabilité confinant à la certitude – de les avoir commises (ATF 137 IV 84 consid.</w:t>
      </w:r>
    </w:p>
    <w:p>
      <w:r>
        <w:rPr>
          <w:b/>
        </w:rPr>
        <w:t>E. 4.3</w:t>
      </w:r>
    </w:p>
    <w:p>
      <w:r>
        <w:t>En l’espèce, au vu des condamnations prononcées à son encontre, dont la plupart concernait des infractions contre l'intégrité physique, de ses liens avec d’autres délinquants et du fait qu’il paraît effectivement déjà ancré dans une forme de délinquance, malgré son jeune âge, force est de constater que le pronostic quant au comportement futur du recourant est très défavorable. Le risque de récidive est donc concret et justifie le maintien du recourant en détention provisoire.</w:t>
      </w:r>
    </w:p>
    <w:p>
      <w:r>
        <w:rPr>
          <w:b/>
        </w:rPr>
        <w:t>E. 5</w:t>
      </w:r>
    </w:p>
    <w:p>
      <w:r>
        <w:t>Aucune mesure de substitution ne serait propre à pallier l’existence des risques de collusion et de récidive, le recourant n'en proposant d'ailleurs aucune.</w:t>
      </w:r>
    </w:p>
    <w:p>
      <w:r>
        <w:rPr>
          <w:b/>
        </w:rPr>
        <w:t>E. 6.1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6.2</w:t>
      </w:r>
    </w:p>
    <w:p>
      <w:r>
        <w:t>En l’espèce, le recourant est détenu depuis le 25 octobre 2016, soit depuis un peu plus de deux semaines. Compte tenu des faits qui lui sont reprochés et de ses antécédents, le recourant s'expose à une peine d’une durée supérieure à celle de la détention provisoire subie à ce jour.</w:t>
      </w:r>
    </w:p>
    <w:p>
      <w:r>
        <w:rPr>
          <w:b/>
        </w:rPr>
        <w:t>E. 7</w:t>
      </w:r>
    </w:p>
    <w:p>
      <w:r>
        <w:t>Il résulte de ce qui précède que le recours, manifestement mal fondé, doit être rejeté sans autres échanges d’écritures (art. 390 al. 2 CPP). Les frais de la procédure de recours, constitués en l’espèce de l’émolument d'arrêt, par 880 fr. (art. 20 al. 1 TFIP [tarif des frais judiciaires de procédure et indemnités en matière pénale du 28 septembre 2010; RSV 312.03.1]) et des frais imputables à la défense d’office (art. 422 al. 1 et 2 let. a CPP), seront mis à la charge de W.________, qui succombe (art. 428 al. 1 CPP). Le défenseur d'office du recourant réclame une indemnité de 927 fr., plus la TVA. Au vu de la nature de la cause, de la relative complexité du droit et du mémoire produit, ce montant apparaît trop élevé. Les frais imputables à la défense d’office seront donc fixés à 540 fr., plus la TVA par 43 fr. 20, soit à 583 fr. 20 au total.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27 octobre 2016 est confirmée. III. L’indemnité allouée au défenseur d’office de W.________ est fixée à 583 fr. 20 (cinq cent huitante-trois francs et vingt centimes). IV. Les frais d’arrêt, par 880 fr. (huit cent huitante francs), ainsi que l’indemnité due au défenseur d’office de W.________, par 583 fr. 20 (cinq cent huitante-trois francs et vingt centimes), sont mis à la charge de ce dernier. V. Le remboursement à l'Etat de l'indemnité allouée au chiffre III ci-dessus ne sera exigible que pour autant que la situation économique de W.________ se soit améliorée VI. L’arrêt est exécutoire. Le président :               La greffière : Du Le présent arrêt, dont la rédaction a été approuvée à huis clos, est notifié, par l'envoi d'une copie complète, à : - Me Julien Perrin, avocat (pour W.________),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