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77 vom 27. Januar 2016</w:t>
      </w:r>
    </w:p>
    <w:p>
      <w:r>
        <w:t>VD Tribunal cantonal, 2016-01-27, FR</w:t>
      </w:r>
    </w:p>
    <w:p>
      <w:r>
        <w:rPr>
          <w:b/>
        </w:rPr>
        <w:t xml:space="preserve">Quelle: </w:t>
      </w:r>
      <w:r>
        <w:t>https://mcp.opencaselaw.ch/entscheid/vd_findinfo_D_cision___2016___77</w:t>
      </w:r>
    </w:p>
    <w:p>
      <w:r>
        <w:t>FR: VD_FINDINFO Décision / 2016 / 77 du 27 janvier 2016</w:t>
      </w:r>
    </w:p>
    <w:p>
      <w:r>
        <w:t>IT: VD_FINDINFO Décision / 2016 / 77 del 27 gennaio 2016</w:t>
      </w:r>
    </w:p>
    <w:p>
      <w:pPr>
        <w:pStyle w:val="Heading2"/>
      </w:pPr>
      <w:r>
        <w:t>Regeste</w:t>
      </w:r>
    </w:p>
    <w:p>
      <w:r>
        <w:t>EXPERTISE, EXPERTISE PSYCHIATRIQUE, VÉRIFICATION D'ÉCRITURE, CRÉDIBILITÉ, DOMMAGE IRRÉPARABLE | 20 CP,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Bâle 2013, n. 12 ad art. 393 CPP ; Keller, in Donatsch/Hansjakob/Lieber [éd.], Kommentar zur Schweizerischen Strafprozessordnung, Zurich/Bâle/Genève 2014, n. 16 ad art. 393 CPP ; CREP 27 juillet 2015/500 ; CREP 30 mai 2014/376). Par souci d’économie, l'art. 394 let. b CPP déroge toutefois à ce principe (Moreillon/Parein-Reymond, Petit commentaire, Code de procédure pénale, Bâle 2013,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4.1 ; ATF 134 III 188 consid. 2.3 ; ATF 133 IV 139 consid. 4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w:t>
      </w:r>
    </w:p>
    <w:p>
      <w:r>
        <w:rPr>
          <w:b/>
        </w:rPr>
        <w:t>E. 1.2</w:t>
      </w:r>
    </w:p>
    <w:p>
      <w:r>
        <w:t>Aux termes de l’art. 182 CPP, le ministère public et les tribunaux ont recours à un ou plusieurs experts lorsqu'ils ne disposent pas des connaissances et des capacités nécessaires pour constater ou juger un état de fait. L’examen de la crédibilité des déclarations d’une personne appartient en premier lieu au juge. Une expertise de crédibilité ne peut être ordonnée qu’en présence de circonstances particulières (ATF 128 I 81 consid. 2 ; TF 1B_36/2010 du 19 avril 2010 consid. 3.1).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Entre autres indices, la jurisprudence rendue en application des art. 13 aCP et 20 CP, auquel il peut être fait référence, cite le comportement aberrant de l’intéressé, un séjour antérieur dans un hôpital psychiatrique, une interdiction prononcée en vertu du Code civil, une attestation médicale, l’alcoolisme chronique, la dépendance aux stupéfiants, la possibilité que le dépôt de plainte ait été influencé par un état affectif particulier, ou encore l’existence de signes d’une faiblesse d’esprit ou d’un retard mental (ATF 116 IV 273).</w:t>
      </w:r>
    </w:p>
    <w:p>
      <w:r>
        <w:rPr>
          <w:b/>
        </w:rPr>
        <w:t>E. 1.3.1</w:t>
      </w:r>
    </w:p>
    <w:p>
      <w:r>
        <w:t>En l’espèce, à l’appui de son argumentation contre le refus du Procureur d’ordonner une expertise de crédibilité, la recourante fait valoir qu’elle souffre d’affections psychiatriques, relevant d’une problématique dépressive, qui sont actuellement en train d’évoluer dans le sens d’une récupération progressive. Elle expose à cet égard que, pour apprécier la crédibilité de ses déclarations en cours d’enquête et son état psychiatrique au moment des faits incriminés, il s’impose de procéder à une expertise dans les meilleurs délais, au risque de voir l’analyse se compliquer de jour en jour. La recourante n’établit toutefois pas que l’évolution de ses affections psychiatriques puisse avoir des conséquences sur sa mémoire et sa capacité de se souvenir des faits incriminés, de ses déclarations en cours d’enquête ainsi que de leur contexte. Le risque pour la recourante, née en 1967, de ne plus pouvoir répondre ultérieurement aux questions d’un expert paraît dès lors bien peu probable. On ne saurait dans ces circonstances retenir l’existence d’un préjudice juridique irréparable au sens de l’art. 394 let. b CPP.</w:t>
      </w:r>
    </w:p>
    <w:p>
      <w:r>
        <w:rPr>
          <w:b/>
        </w:rPr>
        <w:t>E. 1.3.2</w:t>
      </w:r>
    </w:p>
    <w:p>
      <w:r>
        <w:t>S’agissant de l’expertise « graphologique », la recourante soutient que celle-ci, si elle était ordonnée par le tribunal de première instance, engendrerait une perte de temps considérable. L’argument n’est pas pertinent, puisqu’il est susceptible de mettre à néant la portée de l’art. 394 let. b CPP et de la jurisprudence y relative, qui exigent l’existence d’un préjudice juridique irréparable, de simples inconvénients d’ordre temporel n’étant à cet égard pas suffisants.</w:t>
      </w:r>
    </w:p>
    <w:p>
      <w:r>
        <w:rPr>
          <w:b/>
        </w:rPr>
        <w:t>E. 2</w:t>
      </w:r>
    </w:p>
    <w:p>
      <w:r>
        <w:t>Il résulte de ce qui précède que le recours doit être déclaré irrecevable, sans autres échanges d’écritures.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640 fr. (cinq heures d’activité d’avocat-stagiaire à 110 fr. l’heure et une demi-heure d’avocat breveté à 180 fr. l’heure), plus la TVA, par 51 fr. 20, soit un total de 691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irrecevable. II. L’indemnité allouée au défenseur d'office d’A.________ est fixée à 691 fr. 20 (six cent nonante et un francs et vingt centimes). III. Les frais du présent arrêt, par 660 fr. (six cent soixante francs), ainsi que l’indemnité due au défenseur d’office d’A.________, par 691 fr. 20 (six cent nonante et un francs et vingt centimes), sont mis à la charge de cette dernière. IV. Le remboursement à l'Etat de l'indemnité allouée au chiffre II ci-dessus ne sera exigible que pour autant que la situation économique d’A.________ se soit améliorée. V. Le présent arrêt est exécutoire. Le président :               Le greffier : Du Le présent arrêt, dont la rédaction a été approuvée à huis clos, est notifié, par l'envoi d'une copie complète, à : - Me Virginie Rodigari, avocate (pour Mme A.________), - Me Jean-Emmannuel Rossel (pour M. V.________), - Me Amédée Kasser, avocat (pour M. C.________),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