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769 vom 10. November 2016</w:t>
      </w:r>
    </w:p>
    <w:p>
      <w:r>
        <w:t>VD Tribunal cantonal, 2016-11-10, FR</w:t>
      </w:r>
    </w:p>
    <w:p>
      <w:r>
        <w:rPr>
          <w:b/>
        </w:rPr>
        <w:t xml:space="preserve">Quelle: </w:t>
      </w:r>
      <w:r>
        <w:t>https://mcp.opencaselaw.ch/entscheid/vd_findinfo_D_cision___2016___769</w:t>
      </w:r>
    </w:p>
    <w:p>
      <w:r>
        <w:t>FR: VD_FINDINFO Décision / 2016 / 769 du 10 novembre 2016</w:t>
      </w:r>
    </w:p>
    <w:p>
      <w:r>
        <w:t>IT: VD_FINDINFO Décision / 2016 / 769 del 10 novembre 2016</w:t>
      </w:r>
    </w:p>
    <w:p>
      <w:pPr>
        <w:pStyle w:val="Heading2"/>
      </w:pPr>
      <w:r>
        <w:t>Regeste</w:t>
      </w:r>
    </w:p>
    <w:p>
      <w:r>
        <w:t>RISQUE DE COLLUSION, RISQUE DE RÉCIDIVE, SOUPÇON | 221 al. 1 let. b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T.C.________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recourant conteste l'existence d'indices de culpabilité suffisants, en se fondant sur la confusion liée à sa ressemblance avec son frère, aux dénégations de ce dernier et à l'absence de crédibilité de X.________, qui aurait affirmé que T.C.________ l'avait menacé via Facebook, alors que rien de tel n'avait pu être constaté. En l'occurrence, s'il est vrai que, compte tenu de leur ressemblance physique, une confusion entre les deux frères ne peut être exclue pour les faits du 31 juillet 2016 et du 18 septembre 2016, le témoin N.________, présente lors de l'agression du 31 juillet 2016, a toutefois indiqué connaître l'auteur sous le nom de "Adji", ce qui est plus proche de T.C.________ que de B.C.________. Par ailleurs, le recourant est clairement identifié par X.________ pour les faits du 10 octobre 2016. Outre le fait que toutes les victimes ont mis en cause le recourant, il résulte du dossier que l'intéressé est coutumier des actes de violence et qu'il est bien connu des forces de l'ordre pour être souvent présent lors d'interventions de police à l'occasion de bagarres et d'autres agressions. En l'état, ces éléments rendent peu crédibles les dénégations du recourant et ne font au contraire que renforcer les soupçons dirigés contre lui. Au vu des éléments qui précèdent, il existe, à ce stade de la procédure, des indices suffisamment sérieux de culpabilité à l’encontre de T.C.________ pour justifier sa mise en détention provisoire.</w:t>
      </w:r>
    </w:p>
    <w:p>
      <w:r>
        <w:rPr>
          <w:b/>
        </w:rPr>
        <w:t>E. 3.1</w:t>
      </w:r>
    </w:p>
    <w:p>
      <w:r>
        <w:t>Le recourant conteste l’existence d’un risque de collusion (art. 221 al. 1 let. b CPP).</w:t>
      </w:r>
    </w:p>
    <w:p>
      <w:r>
        <w:rPr>
          <w:b/>
        </w:rPr>
        <w:t>E. 3.2</w:t>
      </w:r>
    </w:p>
    <w:p>
      <w:r>
        <w:t>et les références citées).</w:t>
      </w:r>
    </w:p>
    <w:p>
      <w:r>
        <w:rPr>
          <w:b/>
        </w:rPr>
        <w:t>E. 3.3</w:t>
      </w:r>
    </w:p>
    <w:p>
      <w:r>
        <w:t>En l’espèce, il ressort du dossier que des mesures d’investigation sont en cours pour identifier les protagonistes des diverses agressions et comprendre le rôle tenu par chacun. Il s’agit également de présenter les deux frères aux différentes victimes, afin de distinguer plus clairement l'activité de chacun. Il faut donc éviter que le recourant entrave l’instruction, en cherchant à influencer non seulement les parties plaignantes et les autres personnes entendues pour qu’elles reviennent sur leurs déclarations, mais également celles qui devront le cas échéant encore être entendues. Ce risque est d'autant plus concret que le recourant est précisément mis en cause pour avoir agressé un témoin ayant déposé contre lui dans une affaire précédente. Au vu de ce qui précède, le risque de collusion s'oppose, en l’état, à la levée de la détention provisoire du recourant.</w:t>
      </w:r>
    </w:p>
    <w:p>
      <w:r>
        <w:rPr>
          <w:b/>
        </w:rPr>
        <w:t>E. 4.1</w:t>
      </w:r>
    </w:p>
    <w:p>
      <w:r>
        <w:t>Le recourant conteste l’existence du risque de réitération (art. 221 al. 1 let. c CPP).</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aussi se fonder sur les infractions faisant l'objet de la procédure pénale en cours, si le prévenu est fortement soupçonné – avec une probabilité confinant à la certitude – de les avoir commises (ATF 137 IV 84 consid.</w:t>
      </w:r>
    </w:p>
    <w:p>
      <w:r>
        <w:rPr>
          <w:b/>
        </w:rPr>
        <w:t>E. 4.3</w:t>
      </w:r>
    </w:p>
    <w:p>
      <w:r>
        <w:t>En l’espèce, au vu des condamnations prononcées à son encontre, dont la plupart concernait des infractions contre l'intégrité physique, de ses liens avec d’autres délinquants et du fait qu’il paraît effectivement déjà ancré dans une forme de délinquance, malgré son jeune âge, force est de constater que le pronostic quant au comportement futur du recourant est très défavorable. Le risque de récidive est donc concret et justifie le maintien du recourant en détention provisoire.</w:t>
      </w:r>
    </w:p>
    <w:p>
      <w:r>
        <w:rPr>
          <w:b/>
        </w:rPr>
        <w:t>E. 5</w:t>
      </w:r>
    </w:p>
    <w:p>
      <w:r>
        <w:t>Aucune mesure de substitution ne serait propre à pallier l’existence des risques de collusion et de récidive, le recourant n'en proposant d'ailleurs aucune.</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6.2</w:t>
      </w:r>
    </w:p>
    <w:p>
      <w:r>
        <w:t>En l’espèce, le recourant est détenu depuis le 25 octobre 2016, soit depuis un peu plus de deux semaines. Compte tenu des faits qui lui sont reprochés et de ses antécédents, le recourant s'expose à une peine d’une durée supérieure à celle de la détention provisoire subie à ce jour.</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360 fr., plus la TVA par 28 fr. 80, soit à 388 fr. 80 au total, seront mis à la charge de T.C.________,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octobre 2016 est confirmée. III. L’indemnité allouée au défenseur d’office de T.C.________ est fixée à 388 fr. 80 (trois cent huitante-huit francs et huitante centimes). IV. Les frais d’arrêt, par 880 fr. (huit cent huitante francs), ainsi que l’indemnité due au défenseur d’office de T.C.________, par 388 fr. 80 (trois cent huitante-huit francs et huitante centimes), sont mis à la charge de ce dernier. V. Le remboursement à l'Etat de l'indemnité allouée au chiffre III ci-dessus ne sera exigible que pour autant que la situation économique de T.C.________ se soit améliorée VI. L’arrêt est exécutoire. Le président :               La greffière : Du Le présent arrêt, dont la rédaction a été approuvée à huis clos, est notifié, par l'envoi d'une copie complète, à : - Me Philippe Oguey, avocat (pour T.C.________),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