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760 vom 7. November 2016</w:t>
      </w:r>
    </w:p>
    <w:p>
      <w:r>
        <w:t>VD Tribunal cantonal, 2016-11-07, FR</w:t>
      </w:r>
    </w:p>
    <w:p>
      <w:r>
        <w:rPr>
          <w:b/>
        </w:rPr>
        <w:t xml:space="preserve">Quelle: </w:t>
      </w:r>
      <w:r>
        <w:t>https://mcp.opencaselaw.ch/entscheid/vd_findinfo_D_cision___2016___760</w:t>
      </w:r>
    </w:p>
    <w:p>
      <w:r>
        <w:t>FR: VD_FINDINFO Décision / 2016 / 760 du 7 novembre 2016</w:t>
      </w:r>
    </w:p>
    <w:p>
      <w:r>
        <w:t>IT: VD_FINDINFO Décision / 2016 / 760 del 7 novembre 2016</w:t>
      </w:r>
    </w:p>
    <w:p>
      <w:pPr>
        <w:pStyle w:val="Heading2"/>
      </w:pPr>
      <w:r>
        <w:t>Regeste</w:t>
      </w:r>
    </w:p>
    <w:p>
      <w:r>
        <w:t>RISQUE DE COLLUSION, BRIGANDAGE, DÉTENTION POUR DES MOTIFS DE SÛRETÉ, PROPORTIONNALITÉ | 221 al. 1 let. b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2.2</w:t>
      </w:r>
    </w:p>
    <w:p>
      <w:r>
        <w:t>En l’occurrence, il existe des soupçons suffisants de culpabilité à l’encontre de O.________, ce que celui-ci ne conteste d’ailleurs pas.</w:t>
      </w:r>
    </w:p>
    <w:p>
      <w:r>
        <w:rPr>
          <w:b/>
        </w:rPr>
        <w:t>E. 3.1</w:t>
      </w:r>
    </w:p>
    <w:p>
      <w:r>
        <w:t>Le recourant conteste, à titre principal, l’existence d’un risque de collusion (art. 221 al. 1 let. b CPP). A titre subsidiaire, il fait valoir que l’ordonnance entreprise serait insuffisamment motivée, dès lors que le premier juge aurait considéré que les mesures de substitution ne présentaient pas de garanties suffisantes pour pallier le risque de collusion, sans autre explication.</w:t>
      </w:r>
    </w:p>
    <w:p>
      <w:r>
        <w:rPr>
          <w:b/>
        </w:rPr>
        <w:t>E. 3.2.1</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cf. ATF 137 IV 122 consid. 6.2 et 6.4) –, vise à garantir la constatation exacte et complète des faits.</w:t>
      </w:r>
    </w:p>
    <w:p>
      <w:r>
        <w:rPr>
          <w:b/>
        </w:rPr>
        <w:t>E. 3.2.2</w:t>
      </w:r>
    </w:p>
    <w:p>
      <w:r>
        <w:t>Pour le reste, il faut constater, avec les premiers juges, que les mesures de substitution proposées par le recourant ne sont pas suffisantes pour pallier le risque qu’il cherche à s’entretenir avec sa victime s’il est remis en liberté. On relèvera au demeurant sur ce point que la motivation de l’ordonnance entreprise, bien que sommaire, est suffisante et que O.________ a été en mesure, dans le cadre de son recours, d’en discuter les éléments. Pour le surplus, au vu de la gravité des actes qui lui sont reprochés, le principe de la proportionnalité de la détention pour des motifs de sûreté, ordonnée jusqu’à l’audience de jugement, déjà fixée au 15 février 2017, demeure pleinement respecté (art. 212 al. 3 CPP). La détention pour des motifs de sûreté de O.________ est ainsi justifiée.</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660 fr. (art. 20 al. 1 TFIP [tarif des frais judiciaires de procédure et indemnités en matière pénale du 28 septembre 2010; RSV 312.03.1]), et des frais imputables à la défense d’office (art. 422 al. 1 et 2 let. a CPP), fixés à 720 fr., plus la TVA par 57 fr. 60, soit à 777 fr. 60 au total, seront mis à la charge de O.________,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octobre 2016 est confirmée. III. L’indemnité allouée au défenseur d’office de O.________ est fixée à 777 fr. 60 (sept cent septante-sept francs et soixante centimes). IV. Les frais d’arrêt, par 660 fr. (six cent soixante francs), ainsi que l’indemnité due au défenseur d’office de O.________, par 777 fr. 60 (sept cent septante-sept francs et soixante centimes), sont mis à la charge de ce dernier. V. Le remboursement à l’Etat de l’indemnité due au chiffre III ci-dessus ne sera exigible que pour autant que la situation économique de O.________ se soit améliorée. VI. L’arrêt est exécutoire. Le président :               La greffière : Du Le présent arrêt, dont la rédaction a été approuvée à huis clos, est notifié, par l'envoi d'une copie complète, à : - Me Sandro Brantschen (pour O.________), - Ministère public central, et communiqué à : ‑ M. le Président du Tribunal des mesures de contraintes,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