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748 vom 1. November 2016</w:t>
      </w:r>
    </w:p>
    <w:p>
      <w:r>
        <w:t>VD Tribunal cantonal, 2016-11-01, FR</w:t>
      </w:r>
    </w:p>
    <w:p>
      <w:r>
        <w:rPr>
          <w:b/>
        </w:rPr>
        <w:t xml:space="preserve">Quelle: </w:t>
      </w:r>
      <w:r>
        <w:t>https://mcp.opencaselaw.ch/entscheid/vd_findinfo_D_cision___2016___748</w:t>
      </w:r>
    </w:p>
    <w:p>
      <w:r>
        <w:t>FR: VD_FINDINFO Décision / 2016 / 748 du 1 novembre 2016</w:t>
      </w:r>
    </w:p>
    <w:p>
      <w:r>
        <w:t>IT: VD_FINDINFO Décision / 2016 / 748 del 1 novembre 2016</w:t>
      </w:r>
    </w:p>
    <w:p>
      <w:pPr>
        <w:pStyle w:val="Heading2"/>
      </w:pPr>
      <w:r>
        <w:t>Regeste</w:t>
      </w:r>
    </w:p>
    <w:p>
      <w:r>
        <w:t>ADMISSION DE LA DEMANDE, DÉFENSE D'OFFICE | 132 al. 2 CPP (CH), 132 CPP (CH)</w:t>
      </w:r>
    </w:p>
    <w:p>
      <w:pPr>
        <w:pStyle w:val="Heading2"/>
      </w:pPr>
      <w:r>
        <w:t>Erwägungen</w:t>
      </w:r>
    </w:p>
    <w:p>
      <w:r>
        <w:rPr>
          <w:b/>
        </w:rPr>
        <w:t>E. 1</w:t>
      </w:r>
    </w:p>
    <w:p>
      <w:r>
        <w:t>Interjeté dans le délai légal (art. 396 al. 1 CPP [Code de procédure pénale suisse du 5 octobre 2007 ; RS 312.0]) contre une décision du Ministère public refusant au prévenu la désignation d'un défenseur d'office (art. 393 al. 1 let. a CPP), par une partie qui a qualité pour recourir (art. 382 al. 1 CPP) et dans les formes prescrites (art. 385 al. 1 CPP), le recours de M.________ est recevable (Moreillon/Parein-Reymond, Code de procédure pénale, Petit commentaire, 2 e éd.,  Bâle 2016, n. 18 ad art. 132 CPP ; CREP 10 décembre 2015/814 ; CREP 16 novembre 2015 et les références citées).</w:t>
      </w:r>
    </w:p>
    <w:p>
      <w:r>
        <w:rPr>
          <w:b/>
        </w:rPr>
        <w:t>E. 2.1</w:t>
      </w:r>
    </w:p>
    <w:p>
      <w:r>
        <w:t>Le recourant fait valoir en bref que les trois procédures en cours de­vraient être considérées comme un ensemble, dès lors que l’admission ou le rejet de l’une des oppositions entraînerait forcément celui des deux autres, que la peine totale à laquelle il s’exposerait dans le cadre des trois procédures similaires en cours serait de 250 jours de peine privative de liberté ferme, qu’il ne s’agirait pas d’un cas de peu de gravité et que la question de l’application de l’art. 115 LEtr (Loi fédérale sur les étrangers du 16 décembre 2005 ; RS 142.20) poserait objectivement des difficultés qu’il ne serait pas en mesure de surmonter seul.</w:t>
      </w:r>
    </w:p>
    <w:p>
      <w:r>
        <w:rPr>
          <w:b/>
        </w:rPr>
        <w:t>E. 2.2</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étant cumulatives (Harari/Aliberti, in : Kuhn/Jeanneret [éd.], Commentaire romand, Code de procédure pénale suisse, Bâle 2011, n. 55 ad art. 132 CPP). L’art. 132 al. 1 let. b CPP codifie la jurisprudence rendue par le Tribunal fédéral avant l'entrée en vigueur du Code de procédure pénale suisse en matière de défense d'office (Harari/Aliberti, op. cit., nn. 60 ss ad art. 132 CPP).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consid. 2.5.1, JdT 2006 IV 47 ; Harari/Aliberti, op. cit., n. 33 ad art. 132 CPP).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 TF 1B_359/2010 du 13 décembre 2010 consid.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consid. 3.2 ; ATF 128 I 225 consid.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 TF 6B_304/2007 du 15 août 2008 consid. 5.2 ; ATF 128 I 225 consid. 2.5.2 ; CREP 3 août 2011/291).</w:t>
      </w:r>
    </w:p>
    <w:p>
      <w:r>
        <w:rPr>
          <w:b/>
        </w:rPr>
        <w:t>E. 2.3</w:t>
      </w:r>
    </w:p>
    <w:p>
      <w:r>
        <w:t>En l’espèce, l’indigence du recourant, question laissée ouverte par le Ministère public, ne fait aucun doute, puisqu’il résulte du dossier que ce dernier, sans profes­sion et en situation illégale en Suisse, ne perçoit aucun revenu et n’a pas de fortune. Il reste dès lors à examiner si la sauvegarde des intérêts du recourant justifie une défense d’office. Il convient tout d’abord de constater que, tant du point de vue de la procédure que de celui du fond, les trois dossiers posent des questions identiques, de sorte qu’ils doivent être appréciés globalement, alors même qu’ils ne sont pas joints en l’état. Ainsi, dans l’hypothèse où les oppositions seraient déclarées rece­vables – étant précisé que les décisions sur la recevabilité seront forcément identi­ques dans les trois dossiers, qu’elles aillent dans le sens d’une recevabilité ou d’une irrecevabilité des oppositions – et où le Procureur maintiendrait ses ordonnan­ces pénales, le recourant devrait être jugé par un même jugement du Tribunal de police et risquerait ainsi une peine totale de 250 jours de peine privative de liberté ferme. On ne se trouve ainsi pas dans un cas de peu de gravité au sens de l’art. 132 al. 3 CPP, puisqu’on est largement au-delà des 120 jours visés par cette disposition. Au surplus, la question de la recevabilité de l’opposition pose la question de l’appli­cation de la fiction de notification de l’art. 88 al. 4 CPP, laquelle a donné lieu à une jurisprudence subtile du Tribunal fédéral que le prévenu, qui parle difficilement le français et le lit à peine, n’est assurément pas en mesure d’invoquer sans l’aide d’un défenseur. La difficulté de la cause, telle qu’alléguée par le recourant, est égale­ment liée à l’application de l’art. 115 al. 1 let. b LEtr, qui punit d'une peine privative de liberté d'un an au plus quiconque séjourne illégalement en Suisse, notamment après l'expiration de la durée du séjour non soumis à autorisation ou du séjour autorisé. Cette disposition pose des questions que le prévenu n’est pas en mesure de maîtriser, ce qui justifie la désignation d’un défenseur d’office. En effet, selon la jurisprudence du Tribunal fédéral à laquelle se réfère le recourant (TF 1B_231/2014 du 8 août 2014), l’application de l’art. 115 LEtr – qui doit être interprété conformé­ment à la jurisprudence de la Cour de justice de l'Union européenne en rapport avec la directive du Parlement européen et du Conseil de l'Union européenne du 16 décembre 2008 sur le retour – suppose que les autorités administratives ont entre­pris toutes les mesures raisonnables pour l'exécution de la décision de retour mais que la procédure de retour a échoué en raison du comportement de l'intéressé (TF 6B_173/2013 du 19 août 2013 consid. 1.4). Il ressort aussi de la jurisprudence européenne que les ressortissants de pays tiers ayant, outre le délit de séjour irrégulier, commis un ou plusieurs autres délits, peuvent être soustraits du champ d'application de la directive précitée sur le retour (TF 6B_320/2013 du 29 août 2013 consid. 3.2). En l’occurrence, le recourant fait valoir que les autorités adminis­tratives suisses n’auraient pas entrepris la moindre mesure de contrainte visant à exé­cu­ter son renvoi de Suisse à la suite d’une première condamnation pour séjour illégal remontant au 3 juillet 2011. Le dossier ne contient toutefois à ce stade aucun élément relatif à cette question. Au vu de l’ensemble de ces éléments, il y a lieu de considérer que la cause présente objectivement des difficultés que le recourant, dénué de toute forma­tion juridique, n’est pas en mesure de surmonter seul. Partant, il y a lieu de désigner un défenseur d’office au recourant, en la personne de l’avocat Laurent Roulier, lequel a déjà été consulté.</w:t>
      </w:r>
    </w:p>
    <w:p>
      <w:r>
        <w:rPr>
          <w:b/>
        </w:rPr>
        <w:t>E. 3</w:t>
      </w:r>
    </w:p>
    <w:p>
      <w:r>
        <w:t>En définitive, le recours doit être admis et l’ordonnance attaquée réfor­mée en ce sens que Me Laurent Roulier est désigné en qualité de défenseur d’office de M.________. La désignation prendra effet au jour du dépôt de la demande, soit le 18 août 2016 (cf. CREP 15 avril 2016/251 ; CREP 14 mars 2016/189). L’avocat Laurent Roulier sera également désigné en qualité de défen­seur d’office du prévenu pour la présente procédure de recours. Il a simultané­ment interjeté trois recours identiques contre les trois ordonnances de refus de désignation de défenseur d’office à contenu semblable rendues le même jour par le même Procureur à l’encontre du recourant, invoquant les mêmes moyens et prenant les mêmes conclusions. Il a ainsi pu tirer profit du travail accompli dans le cadre de l’une des trois procédures de recours pour l’appliquer aux deux autres. Compte tenu de la difficulté de la cause en fait et en droit, l’indemnité allouée à Me Laurent Roulier sera ainsi arrêtée à 240 fr., plus la TVA par 19 fr. 20, soit un total de 259 fr. 20, pour chacune des trois procédures de recours, indemnité correspondant à 4 heures d’acti­vité pour les trois recours. Vu l’issue du recours, les frais de la procédure de recours, constitués de l’émolument d’arrêt (art. 422 al. 1 CPP), par 770 fr. (art. 20 al. 1 TFIP [Tarif des frais de procédure et indemnités en matière pénale du 28 septembre 2010 ; RSV 312.03.1]), et des frais imputables à la défense d’office (art. 422 al. 1 et 2 let. a CPP), par 259 fr. 20, seront laissés à la charge de l’Etat (art. 428 al. 4 CPP). Par ces motifs, la Chambre des recours pénale prononce : I. Le recours est admis. II. L’ordonnance du 28 septembre 2016 est réformée en ce sens que Me Laurent Roulier est désigné comme défenseur d’office de M.________, avec effet au 18 août 2016. III. L’indemnité allouée au défenseur d’office de M.________ pour la procédure de recours est fixée à 259 fr. 20 (deux cent cinquante-neuf francs et vingt centimes). IV. Les frais d’arrêt, par 770 fr. (sept cent septante francs), ainsi que l’indemnité due au défenseur d’office du recourant, par 259 fr. 20 (deux cent cinquante-neuf francs et vingt centimes), sont laissés à la charge de l’Etat. V. L’arrêt est exécutoire. Le président :               La greffière : Du Le présent arrêt, dont la rédaction a été approuvée à huis clos, est notifié, par l'envoi d'une copie complète, à : - Me Laurent Roulier, avocat (pour M.________),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