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733 vom 1. November 2016</w:t>
      </w:r>
    </w:p>
    <w:p>
      <w:r>
        <w:t>VD Tribunal cantonal, 2016-11-01, FR</w:t>
      </w:r>
    </w:p>
    <w:p>
      <w:r>
        <w:rPr>
          <w:b/>
        </w:rPr>
        <w:t xml:space="preserve">Quelle: </w:t>
      </w:r>
      <w:r>
        <w:t>https://mcp.opencaselaw.ch/entscheid/vd_findinfo_D_cision___2016___733</w:t>
      </w:r>
    </w:p>
    <w:p>
      <w:r>
        <w:t>FR: VD_FINDINFO Décision / 2016 / 733 du 1 novembre 2016</w:t>
      </w:r>
    </w:p>
    <w:p>
      <w:r>
        <w:t>IT: VD_FINDINFO Décision / 2016 / 733 del 1 novembre 2016</w:t>
      </w:r>
    </w:p>
    <w:p>
      <w:pPr>
        <w:pStyle w:val="Heading2"/>
      </w:pPr>
      <w:r>
        <w:t>Regeste</w:t>
      </w:r>
    </w:p>
    <w:p>
      <w:r>
        <w:t>DÉFENSE D'OFFICE, DÉNUEMENT, CAS BÉNIN, LÉSION CORPORELLE SIMPLE, NÉGLIGENCE | 132 CPP (CH), 393 al. 1 let. b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18 février 2016/118).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 En l’espèce, le recours a été interjeté en temps utile devant l’autorité compétente, par la prévenue qui a qualité pour recourir (art. 382 al. 1 CPP) et dans les formes prescrites (art. 385 al. 1 CPP). Il est donc recevable</w:t>
      </w:r>
    </w:p>
    <w:p>
      <w:r>
        <w:rPr>
          <w:b/>
        </w:rPr>
        <w:t>E. 2</w:t>
      </w:r>
    </w:p>
    <w:p>
      <w:r>
        <w:t>La recourante fait valoir que la cause présenterait une certaine complexité, qu'elle encourrait une peine privative de liberté jusqu'à 3 ans et qu'elle n'aurait aucune connaissance juridique. Elle soutient en outre qu'elle ne disposerait pas des moyens financiers nécessaires à sa défense.</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(TF 1B_169/2016 du 21 juillet 2016 consid. 2 ;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w:t>
      </w:r>
    </w:p>
    <w:p>
      <w:r>
        <w:rPr>
          <w:b/>
        </w:rPr>
        <w:t>E. 2.2</w:t>
      </w:r>
    </w:p>
    <w:p>
      <w:r>
        <w:t>En l'occurrence, actuellement domiciliée en France, Z.________ perçoit mensuellement un revenu de l'ordre de 1'200 Euros ou l'équivalent par son assurance maladie. De plus, elle dispose d'économies qui s'élèvent à 5'000 Euros. Ainsi, compte tenu du fait que la procédure de première instance arrive à son terme – l'audience de police étant fixée le 22 novembre 2016 –, force est de constater que la recourante est en mesure de s'acquitter des honoraires de son défenseur relatifs aux opérations qui restent à effectuer, soit celles liées à la préparation de l'audience (qui peuvent être estimées à environ 2h) et à l'audience elle-même (dont la durée peut être estimée à 2h également) et qui pourraient tout au plus s'élever à quelque 2'500 fr. (en retenant un maximum de 6-7h à un tarif horaire de 350 fr.). L'assistance d'un défenseur n'apparaît en outre pas nécessaire pour sauvegarder les intérêts de la recourante. Les faits qui lui sont reprochés sont simples et le droit est peu difficile à appréhender. Il s'agit au demeurant d'un cas bagatelle au sens de la jurisprudence, dès lors que la prévenue encourt concrètement une peine pécuniaire de l'ordre de 60 jours-amende, avec sursis pendant 2 ans, selon l'ordonnance pénale du 31 mars 2016 qui vaut acte d'accusation. Enfin, la recourante ne démontre pas en quoi une éventuelle condamnation aurait un impact important sur sa vie personnelle ou professionnelle. Au vu de ce qui précède, c'est à juste titre que la Présidente du Tribunal de police de l'arrondissement de l'Est vaudois a refusé de désigner un défenseur d'office à Z.________.</w:t>
      </w:r>
    </w:p>
    <w:p>
      <w:r>
        <w:rPr>
          <w:b/>
        </w:rPr>
        <w:t>E. 3</w:t>
      </w:r>
    </w:p>
    <w:p>
      <w:r>
        <w:t>. En définitive, le recours d'Z.________ doit être rejeté et le prononcé attaqué confirmé. Les frais de la procédure de recours, constitués en l'espèce du seul émolument d’arrêt,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26 septembre 2016 est confirmé.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Stefan Disch (pour Z.________),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