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728 vom 4. Oktober 2016</w:t>
      </w:r>
    </w:p>
    <w:p>
      <w:r>
        <w:t>VD Tribunal cantonal, 2016-10-04, FR</w:t>
      </w:r>
    </w:p>
    <w:p>
      <w:r>
        <w:rPr>
          <w:b/>
        </w:rPr>
        <w:t xml:space="preserve">Quelle: </w:t>
      </w:r>
      <w:r>
        <w:t>https://mcp.opencaselaw.ch/entscheid/vd_findinfo_D_cision___2016___728</w:t>
      </w:r>
    </w:p>
    <w:p>
      <w:r>
        <w:t>FR: VD_FINDINFO Décision / 2016 / 728 du 4 octobre 2016</w:t>
      </w:r>
    </w:p>
    <w:p>
      <w:r>
        <w:t>IT: VD_FINDINFO Décision / 2016 / 728 del 4 ottobre 2016</w:t>
      </w:r>
    </w:p>
    <w:p>
      <w:pPr>
        <w:pStyle w:val="Heading2"/>
      </w:pPr>
      <w:r>
        <w:t>Regeste</w:t>
      </w:r>
    </w:p>
    <w:p>
      <w:r>
        <w:t>NON-LIEU, CLASSEMENT DE LA PROCÉDURE, FAUX INTELLECTUEL DANS LES TITRES, FAUX MATÉRIEL DANS LES TITRES | 251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en temps utile, devant l’autorité compétente, par la partie plaignante qui a qualité pour recourir (art. 382 al. 1 CPP); satisfaisant aux conditions de forme prescrites (art. 385 al. 1 CPP), il est donc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Face à des versions contradictoires des parties, il peut être renoncé à une mise en accusation uniquement lorsqu'il n'est pas possible d'apprécier l'une ou l'autre version comme étant plus ou moins plausible et qu'aucun résultat n'est à escompter d'autres moyens de preuve (TF 6B_96/2014 du 30 juin 2014 consid. 2.1; TF 6B_856/2013 du 3 avril 2014 consid. 2.2; TF 1B_535/2012 du 28 novembre 2012 consid. 5.2).</w:t>
      </w:r>
    </w:p>
    <w:p>
      <w:r>
        <w:rPr>
          <w:b/>
        </w:rPr>
        <w:t>E. 3.1</w:t>
      </w:r>
    </w:p>
    <w:p>
      <w:r>
        <w:t>Aux termes de l'art. 251 CP (Code pénal.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Le fait que le titre doit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nn. 20 et 27 ad art. 251 CP). L’art. 251 CP vise non seulement la création d’un titre faux ou la falsification d'un titre (faux matériel), mais aussi l’établissement d’un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(TF 6B_1001/2009 du 23 avril 2010 consid. 2.2.1 et les références citées; CAPE 28 mai 2015/190). Le dessein d’obtenir un avantage illicite au sens de l’art. 251 ch. 1 CP doit notamment être retenu lorsque l’auteur crée un titre faux pour compléter ou améliorer des preuves (ATF 106 IV 41; Dupuis et al., Petit Commentaire du Code pénal, Bâle 2012, n. 56 ad art. 251 CP).</w:t>
      </w:r>
    </w:p>
    <w:p>
      <w:r>
        <w:rPr>
          <w:b/>
        </w:rPr>
        <w:t>E. 3.2</w:t>
      </w:r>
    </w:p>
    <w:p>
      <w:r>
        <w:t>En l’espèce, contrairement à ce que retient le procureur, l’instruction n’a pas permis d’établir si le prévenu avait informé le plaignant que la nacelle avait été accidentée et réparée, les versions des parties étant contradictoires sur ce point. A cet égard, le témoin [...], précédent propriétaire de la chose vendue par le prévenu, n’a pas participé aux discussions entre les parties. En revanche, le prévenu a reconnu avoir apposé après coup sur la quittance restée en sa possession la mention manuscrite "nacelle accidentée et réparée" (P. 4/4), laquelle ne figure pas sur l’exemplaire remis au plaignant (P. 4/1). Cette quittance a ainsi été falsifiée (faux matériel), de manière à améliorer la situation du prévenu en matière de preuve dans l’éventualité d’un procès civil, en permettant au vendeur de produire d’emblée un moyen de preuve de nature à prouver par titre que l’acheteur avait été dûment informé sur un point qui peut être considéré comme une qualité essentielle de la chose vendue. Même s’il devait être établi – ce qui n’est pas le cas en l’état – que le vendeur avait dûment informé l’acheteur, lors de la vente, que la nacelle avait été accidentée et réparée, il n’en resterait pas moins que la falsification de la quittance pour faire croire que cette information avait été confirmée par écrit était de nature à compléter ou améliorer des preuves. Elle pourrait donc réaliser les éléments constitutifs du faux dans les titres au sens de l’art. 251 ch. 1 CP. Dans ces conditions, c’est à tort que le Procureur a ordonné le classement de la procédure pénale dirigée contre R.________ pour faux dans les titres. Il convient en conséquence d’annuler l’ordonnance entreprise et de renvoyer le dossier de la cause au Ministère public pour qu’il envisage d’engager l’accusation contre le prévenu après avoir procédé, le cas échéant, aux mesures d’instruction utiles.</w:t>
      </w:r>
    </w:p>
    <w:p>
      <w:r>
        <w:rPr>
          <w:b/>
        </w:rPr>
        <w:t>E. 4</w:t>
      </w:r>
    </w:p>
    <w:p>
      <w:r>
        <w:t>En définitive, le recours doit être admis. L'ordonnance attaquée sera annulée et le dossier de la cause renvoyé au Ministère public de l'arrondissement du Nord vaudois pour qu’il procède dans le sens des considérants. Les frais de la procédure de recours, constitués en l’espèce de l’émolument d'arrêt, par 770 fr. (art. 20 al. 1 TFIP [Tarif des frais de procédure et indemnités en matière pénale du 28 septembre 2010; RSV 312.03.1]), seront mis à la charge de l’intimé, qui succombe dès lors qu’il a conclu au rejet du recours (art. 428 al. 1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11 août 2016 est annulée. III. Le dossier de la cause est renvoyé au Ministère public de l'arrondissement du Nord vaudois pour qu’il procède dans le sens des considérants. IV. Les frais d’arrêt, par 770 fr. (sept cent septante francs), sont mis à la charge de R.________. V. L’arrêt est exécutoire. Le président :               Le greffier : Du Le présent arrêt, dont la rédaction a été approuvée à huis clos, est notifié, par l'envoi d'une copie complète, à : - Me Anne-Sophie Brady, avocate (pour D.________), - Me Olga Collados Andrade, avocate (pour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