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727 vom 25. Oktober 2016</w:t>
      </w:r>
    </w:p>
    <w:p>
      <w:r>
        <w:t>VD Tribunal cantonal, 2016-10-25, FR</w:t>
      </w:r>
    </w:p>
    <w:p>
      <w:r>
        <w:rPr>
          <w:b/>
        </w:rPr>
        <w:t xml:space="preserve">Quelle: </w:t>
      </w:r>
      <w:r>
        <w:t>https://mcp.opencaselaw.ch/entscheid/vd_findinfo_D_cision___2016___727</w:t>
      </w:r>
    </w:p>
    <w:p>
      <w:r>
        <w:t>FR: VD_FINDINFO Décision / 2016 / 727 du 25 octobre 2016</w:t>
      </w:r>
    </w:p>
    <w:p>
      <w:r>
        <w:t>IT: VD_FINDINFO Décision / 2016 / 727 del 25 ottobre 2016</w:t>
      </w:r>
    </w:p>
    <w:p>
      <w:pPr>
        <w:pStyle w:val="Heading2"/>
      </w:pPr>
      <w:r>
        <w:t>Regeste</w:t>
      </w:r>
    </w:p>
    <w:p>
      <w:r>
        <w:t>DÉTENTION PROVISOIRE, SOUPÇON, PROPORTIONNALITÉ | 212 al. 3 CPP (CH), 221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(cf. art. 385 al. 1 CPP) par la prévenue qui a qualité pour recourir (art. 382 CPP), de sorte qu’il est recevable.</w:t>
      </w:r>
    </w:p>
    <w:p>
      <w:r>
        <w:rPr>
          <w:b/>
        </w:rPr>
        <w:t>E. 2.1</w:t>
      </w:r>
    </w:p>
    <w:p>
      <w:r>
        <w:t>La recourante soutient qu'il n'existerait aucun soupçon dans le dossier de la cause concernant la commission d'infraction au détriment du plaignant. Elle relève en particulier l'absence de tromperie à caractère astucieux.</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 e éd., Zurich 2006, n. 845 ; Schmocker, op. cit., n. 8 ad art. 221 CPP, p. 1025 : Forster, in : Niggli/ Heer/Wiprächtiger [éd.], Basler Kommentar, Schweizerische Strafprozessordnung, 2 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 Ainsi, 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CPP, le juge de la détention doit examiner la qualification juridique des faits prima facie, sous l'angle de la simple vraisemblance (ATF 137 IV 122 consid. 3.2 p. 126). Il en va ainsi s'agissant de savoir si les faits dénoncés peuvent ou non tomber sous le coup de l'art. 146 CP réprimant l'escroquerie (TF 1B_292/2015 du 23 septembre 2015 consid. 4.2 et TF 1B_446/2012 du 28 août 2012 consid. 3.1).</w:t>
      </w:r>
    </w:p>
    <w:p>
      <w:r>
        <w:rPr>
          <w:b/>
        </w:rPr>
        <w:t>E. 2.3</w:t>
      </w:r>
    </w:p>
    <w:p>
      <w:r>
        <w:t>En l'espèce, V.________ est mise en cause par Z.________, qui l'a formellement reconnue. Le lésé a déclaré que la prévenue lui aurait soutiré la somme de 269'000 fr. en lui racontant qu'elle était mère d'une petite fille, qu'elle habitait dans une caravane et que sa situation financière était difficile. Elle se serait par ailleurs présentée sous une fausse identité. La prévenue ne conteste pas les versements –bien qu'elle les estime à un montant total de 3'500 fr. – et a également confirmé avoir tenu ce genre de propos au lésé. Il ressort en outre du rapport d'investigation du 8 juillet 2016 que V.________, ainsi que sept membres de sa famille proche, y compris ses parents, sont connus pas moins de 118 fois en Suisse et en Belgique pour avoir commis divers délits, notamment des vols et des escroqueries, ou pour avoir eu des comportements suspects. Selon ce même rapport, la prévenue, qui a déclaré à Z.________ être en situation précaire, mènerait un train de vie luxueux en Roumanie où elle posséderait une maison richement meublée et une voiture de luxe. Pourtant, ce mode de vie n'est en aucun compatible avec les revenus qu'elle a déclaré percevoir. Par ailleurs, la police aurait reçu un document attestant que la prévenue aurait perçu une donation de 50'000 Euros de sa grand-mère en 2014. Or selon les inspecteurs, ce document ne semble pas être officiel et aurait été rédigé pour justifier une partie de la provenance des avoirs en sa possession. Au surplus, il n'est pas anodin que la prévenue ait été appréhendée dans le canton de Fribourg alors qu'elle rôdait autour de personnes âgées. Enfin, le fait qu'elle ait déclaré savoir que Z.________ avait versé de l'argent à d'autres filles dans la même situation qu'elle ne manque pas d'interpeller. Dans ces circonstances, il existe des soupçons sérieux à l'égard de V.________ d'avoir fourni des indications inexactes quant à sa situation personnelle afin de susciter la compassion de Z.________, âgé de plus de 80 ans et qui n'était pas en mesure de se méfier, dans le but de lui soutirer une importante somme d'argent. Les soupçons à l'égard de la prévenue ont d'ailleurs été confirmés par le Tribunal fédéral dans son arrêt du 2 février 2016 (TF 1B_22/2016).</w:t>
      </w:r>
    </w:p>
    <w:p>
      <w:r>
        <w:rPr>
          <w:b/>
        </w:rPr>
        <w:t>E. 3</w:t>
      </w:r>
    </w:p>
    <w:p>
      <w:r>
        <w:t>La recourante critique les mesures d'instruction envisagées par la direction de la procédure, soit en particulier la production des discussions qu'elle aurait échangées avec son mari sur "Facebook" et "Whatsapp". Elle relève notamment qu'une telle mesure ne ferait que prolonger la procédure et retarder sa mise en accusation. Cette critique est toutefois sans pertinence dans le cadre de l'examen de la détention provisoire. En effet, on ne peut pas dire à ce stade qu'il s'agirait d'une mesure d'instruction qui serait parfaitement inutile ou qui ne serait pas susceptible d'aboutir dans un délai raisonnable et qu'il y aurait ainsi violation du principe de célérité à ne pas renvoyer la recourante en jugement immédiatement, comme elle le réclame.</w:t>
      </w:r>
    </w:p>
    <w:p>
      <w:r>
        <w:rPr>
          <w:b/>
        </w:rPr>
        <w:t>E. 4</w:t>
      </w:r>
    </w:p>
    <w:p>
      <w:r>
        <w:t>La recourante ne conteste pas le risque de fuite retenu par le Tribunal des mesures de contrainte. Néanmoins, examiné d'office par la Cour de céans, il résulte que l'exposé de l'autorité intimée à ce sujet ne prête pas le flanc à la critique et doit par conséquent être confirmé (art. 221 al. 1 let. a CPP). Le Tribunal fédéral a d'ailleurs également considéré dans son arrêt du 2 février 2016 que ce risque était réalisé.</w:t>
      </w:r>
    </w:p>
    <w:p>
      <w:r>
        <w:rPr>
          <w:b/>
        </w:rPr>
        <w:t>E. 5.1</w:t>
      </w:r>
    </w:p>
    <w:p>
      <w:r>
        <w:t>La recourante estime que le principe de proportionnalité ne serait plus respecté au regard de la nature et de la gravité des infractions qui lui sont reprochées.</w:t>
      </w:r>
    </w:p>
    <w:p>
      <w:r>
        <w:rPr>
          <w:b/>
        </w:rPr>
        <w:t>E. 5.2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5.3</w:t>
      </w:r>
    </w:p>
    <w:p>
      <w:r>
        <w:t>Dans le cas d'espèce, la prévenue est détenue depuis presque une année. Cela étant, la détention subie à ce jour par la recourante apparaît encore proportionnée à la peine qui pourrait lui être infligée pour escroquerie compte tenu de la gravité des faits qui lui sont reprochés – notamment de l'importance du produit de l'infraction – et de ses antécédents. Pour le surplus, aucune mesure de substitution n'apparaît propre à prévenir le risque retenu. La recourante n'en propose du reste aucune.</w:t>
      </w:r>
    </w:p>
    <w:p>
      <w:r>
        <w:rPr>
          <w:b/>
        </w:rPr>
        <w:t>E. 6</w:t>
      </w:r>
    </w:p>
    <w:p>
      <w:r>
        <w:t>Il résulte de ce qui précède que le recours, manifestement mal fondé, doit être rejeté sans autres échanges d’écritures (art. 390 al. 2 CPP). Il ressort de la liste des opérations produite par l'avocat David Métille qu'il requiert une indemnité de 493 fr. 55, TVA et débours compris. Ce montant apparaît adéquat et lui sera ainsi alloué en sa qualité de défenseur d'office de V.________ Les frais de la procédure de recours, constitués en l’espèce de l’émolument d'arrêt, par 880 fr. (art. 20 al. 1 [Tarif des frais judiciaires de procédure et indemnités en matière pénale du 28 septembre 2010 ; RSV 312.03.1]) et des frais imputables à la défense d’office (art. 422 al. 1 et 2 let. a CPP), fixés à 493 fr. 55, TVA et débours compris, seront mis à la charge de V.________,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11 octobre 2016 est confirmée. III. L’indemnité allouée au défenseur d’office de V.________ est fixée à 493 fr. 55 (quatre cent nonante-trois francs et cinquante-cinq centimes). IV. Les frais d’arrêt, par 880 fr. (huit cent huitante francs), ainsi que l’indemnité due au défenseur d’office de V.________, par 493 fr. 55 (quatre cent nonante-trois francs et cinquante-cinq centimes), sont mis à la charge de cette dernière. V. Le remboursement à l'Etat de l'indemnité allouée au chiffre III ci-dessus ne sera exigible que pour autant que la situation économique de V.________ se soit améliorée. VI. L’arrêt est exécutoire. Le vice-président : La greffière : Du Le présent arrêt, dont la rédaction a été approuvée à huis clos, est notifié, par l'envoi d'une copie complète, à : - Me David Métille, avocat (pour V.________),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