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700 vom 31. Oktober 2016</w:t>
      </w:r>
    </w:p>
    <w:p>
      <w:r>
        <w:t>VD Tribunal cantonal, 2016-10-31, FR</w:t>
      </w:r>
    </w:p>
    <w:p>
      <w:r>
        <w:rPr>
          <w:b/>
        </w:rPr>
        <w:t xml:space="preserve">Quelle: </w:t>
      </w:r>
      <w:r>
        <w:t>https://mcp.opencaselaw.ch/entscheid/vd_findinfo_D_cision___2016___700</w:t>
      </w:r>
    </w:p>
    <w:p>
      <w:r>
        <w:t>FR: VD_FINDINFO Décision / 2016 / 700 du 31 octobre 2016</w:t>
      </w:r>
    </w:p>
    <w:p>
      <w:r>
        <w:t>IT: VD_FINDINFO Décision / 2016 / 700 del 31 ottobre 2016</w:t>
      </w:r>
    </w:p>
    <w:p>
      <w:pPr>
        <w:pStyle w:val="Heading2"/>
      </w:pPr>
      <w:r>
        <w:t>Regeste</w:t>
      </w:r>
    </w:p>
    <w:p>
      <w:r>
        <w:t>DÉFENSE D'OFFICE | 130 let. c CPP (CH), 393 CPP (CH)</w:t>
      </w:r>
    </w:p>
    <w:p>
      <w:pPr>
        <w:pStyle w:val="Heading2"/>
      </w:pPr>
      <w:r>
        <w:t>Erwägungen</w:t>
      </w:r>
    </w:p>
    <w:p>
      <w:r>
        <w:rPr>
          <w:b/>
        </w:rPr>
        <w:t>E. 1</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Z.________ est recevable (Moreillon/Parein-Reymond, Code de procédure pénale, Petit commentaire,</w:t>
      </w:r>
    </w:p>
    <w:p>
      <w:r>
        <w:rPr>
          <w:b/>
        </w:rPr>
        <w:t>E. 2</w:t>
      </w:r>
    </w:p>
    <w:p>
      <w:r>
        <w:t>e éd., Bâle 2016, n. 18 ad art. 132 CPP ; CREP 12 août 2016/527 ; CREP 14 mars 2016/189).</w:t>
      </w:r>
    </w:p>
    <w:p>
      <w:r>
        <w:rPr>
          <w:b/>
        </w:rPr>
        <w:t>E. 2.1</w:t>
      </w:r>
    </w:p>
    <w:p>
      <w:r>
        <w:t>La recourante soutient qu’elle se trouverait dans un cas de défense obligatoire au sens de l’art. 130 let. c CPP, qui imposerait la désignation d’un défenseur d’office – la condition de l’indigence étant remplie du fait qu’elle percevrait le revenu d’insertion – sans égard à l’absence de gravité de l’infraction et à l’absence de complexité de l’affaire.</w:t>
      </w:r>
    </w:p>
    <w:p>
      <w:r>
        <w:rPr>
          <w:b/>
        </w:rPr>
        <w:t>E. 2.2</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1B_318/2014 du 27 octobre 2014 consid. 2.1 ; TF 1B_332/ 2012 du 15 août 2012 consid. 2.4). Selon la doctrine, l'hypothèse prévue à l'art. 130 let. c CPP est notamment réalisée lorsque le prévenu n'est plus à même d'assurer, intellectuellement ou physiquement, sa participation à la procédure, à l'image des cas visés par l'art. 114 al. 2 et 3 CPP (Moreillon/Parein-Reymond, op. cit., n. 15 ad art. 130 CPP et la réf. citée). A titre d'incapacités personnelles, il peut s'agir de dépendances à l'alcool, aux stupéfiants, à des médicaments susceptibles d'altérer les capacités psychiques (Moreillon/Parein-Reymond, op. cit., n. 16 ad art. 130 CPP et la réf. citée), ainsi que de troubles mentaux sévères ou même légers (Schmid, Praxiskommentar, Schweizerische Strafprozessordnung (StPO), 2013 n. 9 ad art. 130 CPP; Harari/Aliberti, in : Kuhn/Jeanneret [éd.], Commentaire romand, Code de procédure pénale suisse, Bâle 2011, n. 30 ad art. 130 CPP et la réf. citée). En ce qui concerne plus particulièrement les empêchements psychiques, cela ne suppose pas que le prévenu souffre nécessairement de troubles d'ordre psychiatrique. Il suffit qu'il puisse être établi qu'il ne saisit pas ou plus les enjeux auxquels il est confronté dans la procédure pénale (Moreillon/Parein-Reymond, op. cit., n. 17 ad art. 130 CPP et la réf. citée; Ruckstuhl, in : Niggli/Heer/Wiprächtiger [éd.], Basler Kommentar, Schweizerische Strafprozessordnung, Jugendstrafprozessordnung, Art. 1-195 CPP, 2 e éd., Bâle 2014, n. 30 ad art. 130 CPP et la réf. citée).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(Harari/Aliberti, op. cit., nn. 30 et 31 ad art. 130 CPP et la réf. citée ; TF 1B_318/2014 du 27 octobre 2014 consid. 2.1). L'art. 130 let. c CPP ne fait aucune référence à la gravité de l'infraction, ce cas faisant l'objet de la lettre b ; dès lors, si l'incapacité personnelle du prévenu est constatée, même momentanément, la direction de la procédure doit veiller à ce qu'il soit défendu, même si l'infraction est peu grave (Harari/Aliberti, op. cit., nn. 31-32 ad art. 130 CPP).</w:t>
      </w:r>
    </w:p>
    <w:p>
      <w:r>
        <w:rPr>
          <w:b/>
        </w:rPr>
        <w:t>E. 2.3</w:t>
      </w:r>
    </w:p>
    <w:p>
      <w:r>
        <w:t>En l’espèce, la recourante fait valoir qu’il ressortirait notamment de la documentation médicale produite lors de l'opposition à l'ordonnance pénale du 14 septembre 2016 (P. 11) qu’elle aurait été sévèrement atteinte dans sa santé en raison d'une agression ayant eu lieu le 29 décembre 2010 (chute dans un ravin de quinze mètres environ) et qu'elle souffrirait en particulier d’un syndrome de stress post-traumatique, de tremblements importants survenant régulièrement, en particulier lors de situations stressantes, ainsi que de crises de panique manifestées par des crises d'hyperventilation et de tétanies fortement démonstratives. En raison de problèmes de vertiges et de déséquilibres, la recourante chuterait fréquemment, connaîtrait des épisodes de nausées et de vomissements ; elle connaîtrait en outre des troubles de la mémoire et de la concentration. Enfin, elle aurait été admise à l'Hôpital psychiatrique de la Fondation de Nant en raison d’un épisode dépressif sévère avec symptomatologie psychotique et agitation psycho-motrice. Elle soutient qu’en raison de son état de santé, et en dépit de ses efforts, elle ne serait pas en mesure d'appréhender la procédure du cas d'espèce de manière suffisante, ne serait-ce qu'au regard des différentes conséquences qu'ont sur elle les épisodes stressants – une audition du Ministère public devant pouvoir être considérée comme un moment stressant pour un prévenu –, et que l’absence de complexité de l'affaire ne serait pas un critère pertinent à prendre en compte. En l’occurrence, au vu des documents médicaux produits, on ne voit pas en quoi les troubles évoqués par la recourante seraient de nature à carrément l’empêcher de saisir les enjeux auxquels elle est confrontée dans la procédure pénale et à l’empêcher de se défendre suffisamment. En particulier, le fait qu'elle ait besoin d'aide pour se vêtir, se dévêtir, faire sa toilette, se déplacer et entretenir des contacts sociaux ne signifie pas qu'elle n'est pas à même de défendre ses intérêts dans le cadre de la procédure. Contrairement à ce que soutient la recourante, le fait qu’il s’agit d’une affaire simple dont les enjeux sont aisément compréhensibles est tout à fait pertinent, puisqu’il s’agit de se demander si les empêchements psychiques invoqués ont pour conséquence que le prévenu ne saisisse pas ou plus les enjeux auxquels il est concrètement confronté dans la procédure pénale dirigée contre lui. Enfin, contrairement à ce que suggère la recourante, on ne voit pas que les atteintes à sa santé physique l’empêcheraient de se rendre à une audience du Ministère public. Par conséquent, la recourante n’a pas de droit à se voir désigner un défenseur d’office. C’est donc à juste titre que la procureure a rejeté la requête de l’intéressée en ce sens.</w:t>
      </w:r>
    </w:p>
    <w:p>
      <w:r>
        <w:rPr>
          <w:b/>
        </w:rPr>
        <w:t>E. 3</w:t>
      </w:r>
    </w:p>
    <w:p>
      <w:r>
        <w:t>Il résulte de ce qui précède que le recours doit être rejeté sans autre échange d’écritures (art. 390 al. 2 CPP) et l'ordonnance du 3 octobre 2016 confirmée. La requête tendant à la désignation d’un défenseur d’office pour la procédure de recours doit également être rejetée, dès lors que le recours apparaissait d’emblée dénué de chances de succès (CREP 21 décembre 2015/852 consid. 6 ; CREP 28 janvier 2013/37 et les arrêts cités).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3 octobre 2016 est confirmée. III. La requête tendant à la désignation d’un défenseur d’office pour la procédure de recours est rejetée. IV. Les frais d’arrêt, par 660 fr. (six cent soixante francs), sont mis à la charge de Z.________. V. L’arrêt est exécutoire. Le président :               La greffière : Du Le présent arrêt, dont la rédaction a été approuvée à huis clos, est notifié, par l'envoi d'une copie complète, à : - Me Benjamin Schwab, avocat (pour Z.________),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