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685 vom 11. Oktober 2016</w:t>
      </w:r>
    </w:p>
    <w:p>
      <w:r>
        <w:t>VD Tribunal cantonal, 2016-10-11, FR</w:t>
      </w:r>
    </w:p>
    <w:p>
      <w:r>
        <w:rPr>
          <w:b/>
        </w:rPr>
        <w:t xml:space="preserve">Quelle: </w:t>
      </w:r>
      <w:r>
        <w:t>https://mcp.opencaselaw.ch/entscheid/vd_findinfo_D_cision___2016___685</w:t>
      </w:r>
    </w:p>
    <w:p>
      <w:r>
        <w:t>FR: VD_FINDINFO Décision / 2016 / 685 du 11 octobre 2016</w:t>
      </w:r>
    </w:p>
    <w:p>
      <w:r>
        <w:t>IT: VD_FINDINFO Décision / 2016 / 685 del 11 ottobre 2016</w:t>
      </w:r>
    </w:p>
    <w:p>
      <w:pPr>
        <w:pStyle w:val="Heading2"/>
      </w:pPr>
      <w:r>
        <w:t>Regeste</w:t>
      </w:r>
    </w:p>
    <w:p>
      <w:r>
        <w:t>DÉTENTION PROVISOIRE, RISQUE DE COLLUSION | 221 al. 1 let. a CPP (CH)</w:t>
      </w:r>
    </w:p>
    <w:p>
      <w:pPr>
        <w:pStyle w:val="Heading2"/>
      </w:pPr>
      <w:r>
        <w:t>Erwägungen</w:t>
      </w:r>
    </w:p>
    <w:p>
      <w:r>
        <w:rPr>
          <w:b/>
        </w:rPr>
        <w:t>E. 1</w:t>
      </w:r>
    </w:p>
    <w:p>
      <w:r>
        <w:t>Interjeté en temps utile par le détenu contre une ordonnance de prolongation de la détention provisoire rendue par le Tribunal des mesures de contrainte (art. 222 et 393 let. c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l’espèce, le recourant, tout en contestant les faits qui lui sont imputés, ne remet pas en cause – à juste titre – l’existence d’indices de culpabilité suffisants. On rappelle en effet que D.________ a formellement reconnu, le 16 février 2016, B.________ comme étant l’un de ses agresseurs. Dans son audition d’arrestation du 1 er avril 2016, ce dernier a admis son implication ainsi que celle du recourant et de K.________ dans le brigandage perpétré le 29 août 2015 au préjudice de D.________ (cf. CREP 12 avril 2016/236 consid. 2).</w:t>
      </w:r>
    </w:p>
    <w:p>
      <w:r>
        <w:rPr>
          <w:b/>
        </w:rPr>
        <w:t>E. 3.1</w:t>
      </w:r>
    </w:p>
    <w:p>
      <w:r>
        <w:t>Le recourant conteste l’existence du risque de collusion retenu par le Tribunal des mesures de contrainte.</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nn. 14 et 15 ad art. 221 CPP; cf. ATF 137 IV 122 consid. 6.2 et 6.4) –, vise à garantir la constatation exacte et complète des faits.</w:t>
      </w:r>
    </w:p>
    <w:p>
      <w:r>
        <w:rPr>
          <w:b/>
        </w:rPr>
        <w:t>E. 3.3</w:t>
      </w:r>
    </w:p>
    <w:p>
      <w:r>
        <w:t>En l’espèce, il est vrai que les exigences relatives au risque de collusion sont d’autant plus élevées lorsque, comme dans le cas présent, l’instruction est pratiquement terminée (TF 1B_415/2012 du 25 juillet 2012 consid. 3). Il est vrai également que le Ministère public, dans sa demande de prolongation de la détention provisoire, n’a cité aucune mesure d’instruction particulière dont le recourant serait susceptible d’influencer le résultat. Cependant, le risque de collusion peut être retenu alors même que l’instruction est terminée (Moreillon/Parein-Reymond, Petit Commentaire du CPP, 2 e éd, Bâle 2016, n. 29 ad art. 221 CPP) et peut perdurer, au stade de la première instance, avant les débats, en particulier dans la perspective d’une audition de personnes sur la base de l’art. 343 CPP (TF 1B_388/2012 du 19 juillet 2012). En l’occurrence, on rappelle que le recourant conteste toute implication dans le brigandage au préjudice de D.________. Ses déclarations entrent en contradiction avec celles de la victime qui, lors de son audition du 1 er juillet 2016, a expliqué que le recourant s’était comporté comme « un sauvage » et avait agi avec une extrême violence, qu’il l’avait serré au cou et qu’il avait remis un harpon à B.________ en lui demandant de « crever » le plaignant. Certes, le recourant fait valoir que, lorsqu’il était libre, entre le 29 décembre 2015 et le 1 er avril 2016, il n’est pas entré en contact avec D.________. Cette période de liberté était toutefois antérieure à l’audition du prénommé du 1 er juillet 2016. Au vu de ce qui précède, il importe d’éviter que le recourant exerce des pressions sur la victime afin de l’amener à modifier ses déclarations lors des débats devant le tribunal de première instance. Il s’ensuit que le risque de collusion justifie la prolongation de la détention provisoire.</w:t>
      </w:r>
    </w:p>
    <w:p>
      <w:r>
        <w:rPr>
          <w:b/>
        </w:rPr>
        <w:t>E. 4</w:t>
      </w:r>
    </w:p>
    <w:p>
      <w:r>
        <w:t>A titre de mesures de substitution, le recourant propose qu’interdiction lui soit faite d’entretenir des relations avec certaines personnes et de se rendre dans un certain lieu ou dans un certain immeuble (art. 237 al. 2 let. c et g CPP). Ces mesures sont toutefois insuffisantes pour pallier le risque de collusion, comme l’a retenu la Chambre des recours pénale dans son arrêt du 12 avril 2016.</w:t>
      </w:r>
    </w:p>
    <w:p>
      <w:r>
        <w:rPr>
          <w:b/>
        </w:rPr>
        <w:t>E. 5</w:t>
      </w:r>
    </w:p>
    <w:p>
      <w:r>
        <w:t>Compte tenu de la gravité des actes reprochés au recourant, la durée de la détention provisoire subie, qui n’a été prolongée que d’un mois, est conforme au principe de la proportionnalité (art. 212 al. 3 CPP ; ATF 133 I 168 consid. 4.1; ATF 132 I 21 consid. 4.1). Ce point n’est pas contesté.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660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W.________,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septembre 2016 est confirmée. III. L’indemnité allouée au défenseur d’office de W.________ est fixée à 583 fr. 20 (cinq cent huitante-trois francs et vingt centimes). IV. Les frais d’arrêt, par 660 fr. (six cent soixante francs), ainsi que l’indemnité due au défenseur d’office de W.________, par 583 fr. 20 (cinq cent huitante-trois francs et vingt centimes), sont mis à la charge de ce dernier. V. Le remboursement à l'Etat de l'indemnité allouée au chiffre III ci-dessus ne sera exigible que pour autant que la situation économique de W.________ se soit améliorée. VI. L’arrêt est exécutoire. Le président :               Le greffier : Du Le présent arrêt, dont la rédaction a été approuvée à huis clos, est notifié, par l'envoi d'une copie complète, à : - Me Xavier Rubli, avocat (pour W.________), - Ministère public central, et communiqué à : - Mme la Présidente du Tribunal des mesures de contrainte, - Mme la Procureure de l’arrondissement de l’Est vaudois, - Me Charles Munoz, avocat (pour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