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68 vom 15. Februar 2016</w:t>
      </w:r>
    </w:p>
    <w:p>
      <w:r>
        <w:t>VD Tribunal cantonal, 2016-02-15, FR</w:t>
      </w:r>
    </w:p>
    <w:p>
      <w:r>
        <w:rPr>
          <w:b/>
        </w:rPr>
        <w:t xml:space="preserve">Quelle: </w:t>
      </w:r>
      <w:r>
        <w:t>https://mcp.opencaselaw.ch/entscheid/vd_findinfo_D_cision___2016___68</w:t>
      </w:r>
    </w:p>
    <w:p>
      <w:r>
        <w:t>FR: VD_FINDINFO Décision / 2016 / 68 du 15 février 2016</w:t>
      </w:r>
    </w:p>
    <w:p>
      <w:r>
        <w:t>IT: VD_FINDINFO Décision / 2016 / 68 del 15 febbraio 2016</w:t>
      </w:r>
    </w:p>
    <w:p>
      <w:pPr>
        <w:pStyle w:val="Heading2"/>
      </w:pPr>
      <w:r>
        <w:t>Regeste</w:t>
      </w:r>
    </w:p>
    <w:p>
      <w:r>
        <w:t>HONORAIRES, AVOCAT D'OFFICE, FRAIS DE VOYAGE | 135 CPP (CH), 395 let. b CPP (CH)</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déposé en temps utile devant l’autorité compétente par le défenseur d’office de H.________ qui a qualité pour recourir contre la décision fixant son indemnité. Il convient donc d’entrer en matière sur le recours. 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2</w:t>
      </w:r>
    </w:p>
    <w:p>
      <w:r>
        <w:t>al. 1 RAJ [Règlement du</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w:t>
      </w:r>
    </w:p>
    <w:p>
      <w:r>
        <w:rPr>
          <w:b/>
        </w:rPr>
        <w:t>E. 2.2</w:t>
      </w:r>
    </w:p>
    <w:p>
      <w:r>
        <w:t>En l’espèce, on doit admettre avec le recourant que c’est à tort que la procureure a retranché 5 centimes sur le montant des honoraires réclamés, ainsi que la totalité des frais de vacation. S’agissant plus particulièrement des frais de déplacement, la liste des opérations produites fait état de 5 vacations, soit 3 déplacements effectués par l’avocat et 2 déplacements effectués par l’avocate-stagiaire. Ces frais doivent effectivement être indemnisés forfaitairement au recourant, ce qu’admet d’ailleurs la procureure, qui a conclu à l’admission du recours. L’indemnité qui doit être allouée au recourant au titre de frais de déplacement correspond donc à un montant de 520 fr. (3 x 120 fr. + 2 x 80 fr.), auquel s’ajoute la TVA, par 41 fr. 60, soit à un total de 561 fr. 60. Sur le vu de ce qui précède, l’indemnité d’office allouée au recourant doit être fixée à 2'634 fr. 30, plus les frais, par 561 fr. 60., soit au total 3'195 fr. 90, TVA et débours compris, sous déduction de la provision de 2'000 fr. déjà versée. Quant aux frais de procédure qui ont été mis à la charge de H.________, ils doivent être augmentés en conséquence. 3. En définitive, le recours doit être admis et l’ordonnance attaquée réformée aux chiffres X et XI de son dispositif dans le sens des considérants qui précèdent (cf. consid. 2.2 ci-dessus). Le recourant obtenant gain de cause, les frais de la procédure de recours, constitués du seul émolument d'arrêt, par 450 fr. (art. 20 al. 1 TFIP [Tarif des frais de procédure et indemnités en matière pénale du 28 septembre 2010; RSV 312.03.1]), seront laissés à la charge de l’Etat (art. 423 al. 1 CPP).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 e éd., Bâle 2014,, n. 16 et 18 ad art. 135 CPP; Juge unique CREP 9 novembre 2011/477). Au vu du mémoire produit et du résultat obtenu, l'indemnité qu'il convient d'allouer à ce titre au recourant doit être fixée à 180 fr., plus la TVA, par 14 fr. 40, soit 194 fr. 40 au total. Par ces motifs, le juge unique prononce : I. Le recours est admis. II. L’ordonnance du 8 décembre 2015 est réformée comme il suit aux chiffres X et XI de son dispositif : X. fixe à 3'195 fr. 90 (trois mille cent nonante-cinq francs et nonante centimes) l’indemnité allouée au défenseur d’office de H.________, Me B.________, sous déduction de la somme de 2'000 fr. (deux mille francs) déjà versée. XI. met une partie des frais de procédure à la charge de H.________, par 1'857 fr. 75 (mille huit cent cinquante-sept francs et septante-cinq centimes), à laquelle s’ajoute l’indemnité versée à son défenseur d’office, par 3'195 fr. 90 (trois mille cent nonante-cinq francs et nonante centimes). III. Une indemnité de 194 fr. 40 (cent nonante-quatre francs et quarante centimes) est allouée à l’avocat B.________ pour la procédure de recours, à la charge de l'Etat. IV. Les frais d’arrêt, par 450 fr. (quatre cent cinquante francs), sont laissés à la charge de l’Etat. V. Le présent arrêt est exécutoire. Le juge unique :               La greffière : Du Le présent arrêt, dont la rédaction a été approuvée à huis clos, est notifié, par l'envoi d'une copie complète, à : - Me B.________, - M. H.________,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décembre 2010 sur l’assistance judiciaire en matière civile; RSV 211.02.3];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26 décembre 2012/844 consid. 3b; Note 6.6 du Procureur général sur la fixation et le calcul des indemnités des conseils d'office du 17 janvier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