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676 vom 7. Oktober 2016</w:t>
      </w:r>
    </w:p>
    <w:p>
      <w:r>
        <w:t>VD Tribunal cantonal, 2016-10-07, FR</w:t>
      </w:r>
    </w:p>
    <w:p>
      <w:r>
        <w:rPr>
          <w:b/>
        </w:rPr>
        <w:t xml:space="preserve">Quelle: </w:t>
      </w:r>
      <w:r>
        <w:t>https://mcp.opencaselaw.ch/entscheid/vd_findinfo_D_cision___2016___676</w:t>
      </w:r>
    </w:p>
    <w:p>
      <w:r>
        <w:t>FR: VD_FINDINFO Décision / 2016 / 676 du 7 octobre 2016</w:t>
      </w:r>
    </w:p>
    <w:p>
      <w:r>
        <w:t>IT: VD_FINDINFO Décision / 2016 / 676 del 7 ottobre 2016</w:t>
      </w:r>
    </w:p>
    <w:p>
      <w:pPr>
        <w:pStyle w:val="Heading2"/>
      </w:pPr>
      <w:r>
        <w:t>Regeste</w:t>
      </w:r>
    </w:p>
    <w:p>
      <w:r>
        <w:t>LIBÉRATION CONDITIONNELLE, PRONOSTIC | 86 CP</w:t>
      </w:r>
    </w:p>
    <w:p>
      <w:pPr>
        <w:pStyle w:val="Heading2"/>
      </w:pPr>
      <w:r>
        <w:t>Erwägungen</w:t>
      </w:r>
    </w:p>
    <w:p>
      <w:r>
        <w:rPr>
          <w:b/>
        </w:rPr>
        <w:t>E. 1.1</w:t>
      </w:r>
    </w:p>
    <w:p>
      <w:r>
        <w:t>L’art. 26 al. 1 let. a LEP (Loi sur l’exécution des condamnations pénales du</w:t>
      </w:r>
    </w:p>
    <w:p>
      <w:r>
        <w:rPr>
          <w:b/>
        </w:rPr>
        <w:t>E. 1.2</w:t>
      </w:r>
    </w:p>
    <w:p>
      <w:r>
        <w:t>En l’espèce, le recours a été interjeté en temps utile, auprès de l’autorité compétente, par le condamné qui a qualité pour recourir (art. 382 al. 1 CPP). Conforme aux exigences de forme prescrites par l’art. 385 al. 1 CPP, il est recevable. 2.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 examen intervient d’office (art. 86 al. 2 CP). En cas de condamnation à vie, la libération conditionnelle peut intervenir au plus tôt après quinze ans (art. 86 al. 5 CP).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 2.3 ; ATF 133 IV 201 précité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précité c. 2.3). 2.2 En l’espèce, les conditions objectives des deux tiers de la peine (art. 86 al. 1 CP) et de l’exécution de 15 ans de détention (art. 86 al. 5 CP) sont réalisées. Le recourant se comporte bien en prison. Est ainsi seule litigieuse la question du pronostic défavorable émis par l’autorité précédente. Le recourant estime qu’il convient de tenir compte des motifs qui ont entraîné la révocation de sa libération conditionnelle le 30 juin 2014. Il fait valoir que la procédure instruite contre lui à la suite de plaintes déposées par sa fille a été clôturée par une ordonnance de classement. Cette circonstance n’empêche toutefois pas que les relations qu’il entretient avec sa famille demeurent conflictuelles. Le recourant admet d’ailleurs que ses rapports avec sa fille sont loin d’être au beau fixe. Or, comme l’a relevé la Chambre des recours pénale dans son arrêt du 9 juillet 2014 en se fondant sur les conclusions des experts psychiatres, la persistance d’un conflit, susceptible de réveiller un sentiment d’abandon ou de tromperie, constituait un facteur de risque du point de vue de la récidive. Elle a indiqué à ce sujet que, si l’intéressé tentait de minimiser l’importance du conflit qui l’opposait à sa fille, celui-ci était cependant bien réel et trouvait sa cause principale dans le fait que le recourant avait cherché à exercer une emprise sur ses proches, en particulier sur sa fille et sur sa petite-fille. Le recourant était par ailleurs fâché que sa fille lui ait caché des faits qui, selon lui, auraient dû être portés à sa connaissance (cf. CREP 9 juillet 2014/463 consid. 2.3). Ces considérations restent d’actualité. A cela s’ajoute que la libération conditionnelle n’avait pas été révoquée uniquement en raison de relations conflictuelles du recourant avec les siens, mais il avait également été tenu compte d’autres facteurs (consommation répétée d’alcool et rapports tendus du recourant avec ses voisins [ibid.]). Au surplus, le Collège des Juges d’application des peines a considéré, s’agissant de l’état psychique du recourant, qu’il n’y avait aucune évolution notable depuis la précédente procédure de libération conditionnelle. En outre, le recourant n’éprouvait pas de véritable remords par rapport à l’assassinat de son épouse et les regrets exprimés à l’audience ne suffisaient pas à masquer ses tendances manipulatrices. Les premiers juges ont rappelé, sur la foi des avis concordants des experts psychiatres, que les troubles de la personnalité du recourant entraînaient d’importantes distorsions dans ses relations interpersonnelles, empêchant toute véritable démarche introspective et bloquant toute modification significative de son mode de fonctionnement psychique. Libéré conditionnellement à deux reprises, le recourant s’était montré incapable de respecter les conditions assortissant sa libération. Il y avait lieu, par conséquent, de s’en tenir aux conclusions de l’expertise psychiatrique du 17 juillet 2015 faisant état d’un risque de réitération élevé pour des actes de même nature. Cette appréciation, qui ne prête pas le flanc à la critique, doit être approuvée. Le recourant ne développe d’ailleurs pas d’arguments spécifiques à cet égard. En ce qui concerne l’âge du recourant et son état de santé défaillant, ils ne constituent pas des critères à eux seuls déterminants pour l’évaluation du pronostic quant à sa conduite future. Au vu de ce qui précède, force est de constater que le pronostic demeure défavorable, comme l’a retenu à bon droit le Collège des Juges d’application des peines. 3. A titre subsidiaire, le recourant requiert la mise en œuvre d’une nouvelle expertise psychiatrique. Il reproche à l’expert N.________ de ne l’avoir vu qu’à une seule reprise pour établir son rapport du 17 juillet 2015 et d’y avoir repris tout ce qui figurait dans les expertises psychiatriques antérieures. Ces griefs, vagues et généraux, ne sont pas étayés ni suffisamment motivés. Il convient dès lors de rejeter la requête présentée par le recourant.</w:t>
      </w:r>
    </w:p>
    <w:p>
      <w:r>
        <w:rPr>
          <w:b/>
        </w:rPr>
        <w:t>E. 4</w:t>
      </w:r>
    </w:p>
    <w:p>
      <w:r>
        <w:t>En définitive, le recours doit être rejeté sans autre échange d’écritures (art. 390 al. 2 CPP) et la décision du 23 septembre 2016 confirmée. L’indemnité due au défenseur d’office du recourant sera fixée à 360 fr., plus la TVA, par 28 fr. 80, soit 388 fr. 80 au total. Les frais de la procédure, soit l’émolument d’arrêt, par 1'100 fr. (art. 20 al. 1 TFIP [Tarif des frais de procédure et indemnités en matière pénale du 28 septembre 2010 ; RSV 312.03.1]), ainsi que les frais imputables à la défense d’office (art. 422 al. 1 et al. 2 let. a CPP), par 388 fr. 80,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23 septembre 2016 est confirmée. III. L’indemnité due au défenseur d’office de Q.________ est fixée à 388 fr. 80 (trois cent huitante-huit francs et huitante centimes). IV. Les frais d’arrêt, par 1’100 fr. (mille cent francs), ainsi que l’indemnité due au défenseur d’office de Q.________, par 388 fr. 80 (trois cent huitante-huit francs et huitante centimes), sont mis à la charge de ce dernier. V. Le remboursement à l’Etat de l’indemnité allouée au chiffre III ci-dessus sera exigible pour autant que la situation économique de se soit améliorée. VI. L’arrêt est exécutoire. Le président :               Le greffier : Du Le présent arrêt, dont la rédaction a été approuvée à huis clos, est notifié, par l'envoi d'une copie complète, à : - Me Jean Lob, avocat (pour Q.________), - Ministère public central, et communiqué à : - Mme la Présidente du Collège des Juges d’application des peines, - M. le Procureur du Ministère public central, division affaires spéciales, - Office d’exécution des peines (réf. : [...]),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