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670 vom 5. Oktober 2016</w:t>
      </w:r>
    </w:p>
    <w:p>
      <w:r>
        <w:t>VD Tribunal cantonal, 2016-10-05, FR</w:t>
      </w:r>
    </w:p>
    <w:p>
      <w:r>
        <w:rPr>
          <w:b/>
        </w:rPr>
        <w:t xml:space="preserve">Quelle: </w:t>
      </w:r>
      <w:r>
        <w:t>https://mcp.opencaselaw.ch/entscheid/vd_findinfo_D_cision___2016___670</w:t>
      </w:r>
    </w:p>
    <w:p>
      <w:r>
        <w:t>FR: VD_FINDINFO Décision / 2016 / 670 du 5 octobre 2016</w:t>
      </w:r>
    </w:p>
    <w:p>
      <w:r>
        <w:t>IT: VD_FINDINFO Décision / 2016 / 670 del 5 ottobre 2016</w:t>
      </w:r>
    </w:p>
    <w:p>
      <w:pPr>
        <w:pStyle w:val="Heading2"/>
      </w:pPr>
      <w:r>
        <w:t>Regeste</w:t>
      </w:r>
    </w:p>
    <w:p>
      <w:r>
        <w:t>DÉTENTION PROVISOIRE, COMMERCE DE STUPÉFIANTS, CANNABIS, RISQUE DE COLLUSION | 221 al. 1 let. b CPP (CH), 393 al. 1 let. c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Interjeté en temps utile et dans les formes prescrites (cf. art. 385 al. 1 CPP) par le détenu qui a qualité pour recourir (art. 382 CPP), le recours de D.________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 Pour qu'une personne soit placée en détention provisoire,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1B_242/2016 du 21 juillet 2016 consid. 3.1).</w:t>
      </w:r>
    </w:p>
    <w:p>
      <w:r>
        <w:rPr>
          <w:b/>
        </w:rPr>
        <w:t>E. 2.2</w:t>
      </w:r>
    </w:p>
    <w:p>
      <w:r>
        <w:t>En l’occurrence et à juste titre, D.________, qui a admis sa participation à un trafic de marijuana (PV aud. du 25.04.2016, R. 5 et PV aud. du 21.09.2016 R. 15), ne conteste pas l’existence de présomptions suffisantes de culpabilité à son encontre.</w:t>
      </w:r>
    </w:p>
    <w:p>
      <w:r>
        <w:rPr>
          <w:b/>
        </w:rPr>
        <w:t>E. 3</w:t>
      </w:r>
    </w:p>
    <w:p>
      <w:r>
        <w:t>Le premier juge s’est fondé sur le risque de collusion pour ordonner la détention provisoire de D.________.</w:t>
      </w:r>
    </w:p>
    <w:p>
      <w:r>
        <w:rPr>
          <w:b/>
        </w:rPr>
        <w:t>E. 3.1</w:t>
      </w:r>
    </w:p>
    <w:p>
      <w:r>
        <w:t>L’art. 221 al. 1 let. b CPP prévoit que la détention provisoire peut être ordonnée lorsqu’il y a sérieusement lieu de craindre que le prévenu compromette la recherche de la vérité en exerçant une influence sur des personnes ou en altérant des moyens de preuves. Selon la jurisprudence,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JdT 2012 IV 79 ; TF 1B_20/2016 du 4 février 2016 consid. 3.1).</w:t>
      </w:r>
    </w:p>
    <w:p>
      <w:r>
        <w:rPr>
          <w:b/>
        </w:rPr>
        <w:t>E. 3.2</w:t>
      </w:r>
    </w:p>
    <w:p>
      <w:r>
        <w:t>En l’espèce, D.________ est impliqué dans un trafic de marijuana, dont les protagonistes n’ont pas encore tous été entendus, et qui comporte de multiples et importantes ramifications. Même si, depuis l’été, plusieurs interpellations ont eu lieu dans le cadre de cette enquête, d’autres doivent encore intervenir, comme celle du dénommé « Mat », que le prévenu connaît. En outre, comme l’a relevé à juste titre le Tribunal des mesures de contrainte dans l’ordonnance entreprise, des mesures d’instruction tendant à l’extraction des données du téléphone du prévenu sont en cours. Dès lors, force est de constater qu’il existe un risque concret que D.________ soit tenté de prendre contact avec les personnes recherchées ou avec celles qui pourraient être identifiées grâce aux extractions cellulaires, telles des clients, fournisseurs ou autres comparses, et cherche à exercer une influence sur celles-ci. Pour le surplus, on relèvera encore que, s’il est vrai que le prévenu a collaboré avec les policiers depuis son interpellation, le fait d’avoir été entendu une première fois par la police le 25 avril 2016 ne l’a pas dissuadé d’aider ses comparses, à peine un mois plus tard, à conditionner une importante quantité de marijuana. Partant, le risque de collusion est manifeste et suffit, à lui seul, à justifier la détention de D.________. L’interdiction d’entretenir tout contact avec les protagonistes du trafic litigieux, proposée à titre de mesure de substitution (cf. 237 al. 1 CPP) par le recourant, n’est par ailleurs ni suffisante ni adéquate pour pallier le risque de collusion. Pour le surplus, au vu des actes qui lui sont reprochés, le principe de la proportionnalité de la détention provisoire, ordonnée pour une durée de deux mois, demeure pleinement respecté (art. 212 al. 3 CPP).</w:t>
      </w:r>
    </w:p>
    <w:p>
      <w:r>
        <w:rPr>
          <w:b/>
        </w:rPr>
        <w:t>E. 4</w:t>
      </w:r>
    </w:p>
    <w:p>
      <w:r>
        <w:t>En définitive, le recours doit être rejeté et l’ordonnance attaquée confirmée. Les frais de la procédure de recours, constitués en l’espèce de l’émolument d’arrêt (art. 422 al. 1 CPP), par 660 fr. (art. 20 al. 1 TFIP  [tarif des frais de procédure et indemnités en matière pénale du 28 septembre 2010 ; RSV 312.03.1]), et des frais imputables à la défense d’office (art. 422 al. 2 let. a CPP), fixés à 630 fr., plus la TVA par 50 fr. 40, soit un total de 680 fr. 40, seront mis à la charge de D.________, qui succombe (art. 428 al. 1 CPP). Le remboursement à l'Etat de l'indemnité allouée au défenseur d'office de D.________ ne sera toutefois exigible que pour autant que la situation économique de ce dernier se soit améliorée (art. 135 al. 4 CPP). Par ces motifs, la Chambre des recours pénale prononce : I. Le recours est rejeté. II. L’ordonnance du 23 septembre 2016 est confirmée. III. L’indemnité allouée au défenseur d’office de D.________ est fixée à 680 fr. 40 (six cent huitante francs et quarante centimes). IV. Les frais d’arrêt, par 660 fr. (six cent soixante francs), ainsi que l’indemnité due au défenseur d’office de D.________, par 680 fr. 40 (six cent huitante francs et quarante centimes), sont mis à la charge de ce dernier. V. Le remboursement à l’Etat de l’indemnité allouée au chiffre III ci-dessus ne sera exigible que pour autant que la situation économique de D.________ se soit améliorée. VI. L’arrêt est exécutoire. Le président :               La greffière : Du Le présent arrêt, dont la rédaction a été approuvée à huis clos, est notifié, par l'envoi d'une copie complète, à : - Me Tiphanie Chappuis (pour D.________),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