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669 vom 28. September 2016</w:t>
      </w:r>
    </w:p>
    <w:p>
      <w:r>
        <w:t>VD Tribunal cantonal, 2016-09-28, FR</w:t>
      </w:r>
    </w:p>
    <w:p>
      <w:r>
        <w:rPr>
          <w:b/>
        </w:rPr>
        <w:t xml:space="preserve">Quelle: </w:t>
      </w:r>
      <w:r>
        <w:t>https://mcp.opencaselaw.ch/entscheid/vd_findinfo_D_cision___2016___669</w:t>
      </w:r>
    </w:p>
    <w:p>
      <w:r>
        <w:t>FR: VD_FINDINFO Décision / 2016 / 669 du 28 septembre 2016</w:t>
      </w:r>
    </w:p>
    <w:p>
      <w:r>
        <w:t>IT: VD_FINDINFO Décision / 2016 / 669 del 28 settembre 2016</w:t>
      </w:r>
    </w:p>
    <w:p>
      <w:pPr>
        <w:pStyle w:val="Heading2"/>
      </w:pPr>
      <w:r>
        <w:t>Regeste</w:t>
      </w:r>
    </w:p>
    <w:p>
      <w:r>
        <w:t>RÉCUSATION, ORDONNANCE DE SÉQUESTRE | 263 CPP (CH), 56 CPP (CH)</w:t>
      </w:r>
    </w:p>
    <w:p>
      <w:pPr>
        <w:pStyle w:val="Heading2"/>
      </w:pPr>
      <w:r>
        <w:t>Erwägungen</w:t>
      </w:r>
    </w:p>
    <w:p>
      <w:r>
        <w:rPr>
          <w:b/>
        </w:rPr>
        <w:t>E. 1</w:t>
      </w:r>
    </w:p>
    <w:p>
      <w:r>
        <w:t>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(art. 396 al. 1 CPP) par le prévenu qui a qualité pour recourir (art. 382 al. 1 CPP) et dans les formes prescrites (art. 385 al. 1 CPP), le recours du 24 août 2016 d’O.________ est donc recevable (CREP 16 juin 2016/406 ; CREP 13 mars 2015/188 ; CREP 19 février 2015/51, et les références citées).</w:t>
      </w:r>
    </w:p>
    <w:p>
      <w:r>
        <w:rPr>
          <w:b/>
        </w:rPr>
        <w:t>E. 2.1</w:t>
      </w:r>
    </w:p>
    <w:p>
      <w:r>
        <w:t>Le recourant fait notamment grief au Procureur de ne pas lui accorder le droit de se défendre seul, d’effectuer certains actes d’instruction qui ne lui convienne pas et de ne pas apporter certaines modifications au dossier comme il l’a requis. Il estime ainsi que le Procureur ne présente plus « les garanties d’impartialité légales requises dans cette affaire juridique ». Enfin, il fait valoir un abus de droit et une prévention à son égard.</w:t>
      </w:r>
    </w:p>
    <w:p>
      <w:r>
        <w:rPr>
          <w:b/>
        </w:rPr>
        <w:t>E. 2.2</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ss; ATF 138 IV 142 consid. 2.1 p. 144 s. et les arrêts cités).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(ATF 141 IV 178 consid. 3.2.3 p. 180; ATF 138 IV 178 consid. 2.3 p. 146). Au cours de l'instruction, le ministère public n'a pas encore la qualité de partie au sens de l'art. 104 al. 1 let. c CPP (sur cette position, cf. ATF 141 IV 178 consid. 3.2.2 in fine p. 180; ATF 138 IV 142 consid. 2.2.2 p. 145 ss). En tant que direction de la procédure (art. 61 CPP), son attitude et/ou ses déclarations ne doivent donc pas laisser à penser que son appréciation quant à la culpabilité du prévenu serait définitivement arrêtée (art. 6 et 10 CPP; TF 1B_430/2015 du 5 janvier 2016 consid. 3.4). Il est ainsi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180; ATF 138 IV 142 consid. 2.2.1 p. 145).</w:t>
      </w:r>
    </w:p>
    <w:p>
      <w:r>
        <w:rPr>
          <w:b/>
        </w:rPr>
        <w:t>E. 2.3</w:t>
      </w:r>
    </w:p>
    <w:p>
      <w:r>
        <w:t>En l’espèce, le recourant exprime son mécontentement contre certains actes de procédure et le fait que le Procureur ne lui permette pas de se défendre seul. Or, il résulte de la jurisprudence citée ci-dessus que de simples actes de procédure ordonnés par le Procureur dans le cadre de la conduite de l’enquête ne sauraient constituer des motifs de récusation. Il faut que le magistrat commette des fautes particulièrement lourdes ou répétées pour envisager sa récusation. En l’occurrence, on ne voit pas quelle faute pourrait être imputée au Procureur. Pour le reste, le recourant ne démontre pas en quoi le Procureur aurait fait preuve de prévention à son égard. Le fait que ce dernier refuse que le recourant se défende seul ne justifie naturellement pas une récusation et cela d’autant moins que la loi lui impose en l’espèce la désignation d’un défenseur. Enfin, les déterminations du Ministère public déposées suite à la demande de récusation du prévenu ne démontrent absolument pas que le Procureur aurait fait preuve d’impartialité dans cette affaire. Ce dernier, mis en cause dans sa fonction de magistrat, devait se déterminer sur les arguments du prévenu (art. 58 al. 2 CPP). De plus, rien dans ce courrier ne permet de retenir que le Procureur nourrirait une quelconque animosité envers le prévenu. Il s’ensuit que les critiques du prévenu ne sauraient fonder l’existence de motifs de récusation au sens de l’art. 56 CPP et ne justifient en aucune façon la récusation du Procureur [...]. IV. Conclusion Il résulte de ce qui précède que le recours interjeté le 24 août 2016 et les requêtes de récusation déposées par O.________ les 9 et 10 septembre 2016 doivent être rejetés et l’ordonnance attaquée confirmée. Le recours interjeté le 21 septembre 2016 contre les déterminations du 12 septembre 2016 du Ministère public doit quant à lui être déclaré irrecevable. Les frais de la procédure, constitués du seul émolument d’arrêt, par 990 fr. (art. 20 al. 1 TFIP [tarif des frais de procédure et indemnités en matière pénale du 28 septembre 2010 ; RSV 312.03.1]), seront mis à la charge du recourant, qui succombe (art. 59 al. 4 et 428 al. 1 CPP). Par ces motifs, la Chambre des recours pénale prononce : I. Le recours du 24 août 2016 est rejeté. II. L’ordonnance de séquestre du 12 août 2016 est confirmée. III. Les requêtes de récusation sont rejetées. IV . Le recours du 21 septembre 2016 est irrecevable. V. Les frais d’arrêt, par 990 fr. (neuf cent nonante francs), sont mis à la charge d’O.________. VI. L’arrêt est exécutoire. Le président :               La greffière : Du Le présent arrêt, dont la rédaction a été approuvée à huis clos, est notifié, par l'envoi d'une copie complète, à : - M.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2.4</w:t>
      </w:r>
    </w:p>
    <w:p>
      <w:r>
        <w:t>En l’espèce, le recourant est notamment soupçonné d’avoir commis des actes d’ordre sexuel avec des enfants et d’avoir consulté des sites internet à caractère pédophile en utilisant des mots circonstanciés. A ce stade de l’instruction, il existe des soupçons sérieux que le prévenu ait pu utiliser les appareils saisis pour effectuer des recherches ou stocker des images. Certes, il est vrai que l’ordonnance de séquestre ne mentionne pas précisément quel objet aurait permis de consulter des sites pédophiles avec les mots-clés « pretty nue » et « little pretty nue ». Il est toutefois notoire que tous les appareils séquestrés permettent de naviguer sur internet et de stocker des données numériques. L’analyse de ces dispositifs servira donc de moyen de preuve (art. 263 al. 1 let. a CPP). Le séquestre de ces objets se justifie en outre par le fait qu’il y aura éventuellement lieu de les confisquer en raison de leur contenu criminel (art. 263 al. 1 let. d CPP). Cette mesure est par ailleurs manifestement proportionnée au vue de l’atteinte relative qu’elle représente pour le prévenu et de la gravité des faits qui sont reprochés à celui-ci.</w:t>
      </w:r>
    </w:p>
    <w:p>
      <w:r>
        <w:rPr>
          <w:b/>
        </w:rPr>
        <w:t>E. 3.1</w:t>
      </w:r>
    </w:p>
    <w:p>
      <w:r>
        <w:t>Le recourant se plaint également des circonstances de la perquisition, d’une violation de son droit d’être entendu, du fait qu’aucune mesure conservatoire n’aurait été prise lors de celle-ci en vertu de l’art. 242 CPP, du fait qu’on ne lui aurait pas permis de participer à l’administration des preuves et du fait qu’il n’aurait jamais reçu de mandat écrit en vue de la perquisition des objets. Enfin, le recourant fait notamment valoir que les mots-clés retenus par le Procureur pourraient concerner des sites autres que ceux à caractère pédophile. En premier lieu, le recourant ne peut se fonder l’art. 247 CPP pour faire valoir une violation de son droit d’être entendu dans la mesure où cet article ne trouve application que dans le cadre d’une perquisition et non d’un séquestre, seul objet du présent recours. En outre, contrairement à ce qu’il soutient, il résulte du rapport du 11 juillet 2016 qu’il était présent lors de la perquisition (P. 106/1 p. 7 et P. 106/2). De même, c’est à tort que le prévenu invoque l’art. 242 CPP et critique le fait que le Procureur n’ait pas pris des mesures conservatoires au sens de cet article puisque celui-ci ne s’applique pas non plus au séquestre, objet du recours, mais uniquement à la perquisition. On peine également à comprendre la critique du recourant s’agissant d’une violation de son droit à participer à l’administration des preuves au sens de l’art. 147 CPP. Comme indiqué ci-dessus, le recourant était présent lors de la perquisition et pouvait faire valoir ses propres arguments puisqu’il n’était pas encore pourvu d’un défenseur. L’argument selon lequel le Procureur n’aurait pas émis de mandat de perquisition tombe aussi à faux puisque celui-ci figure au dossier sous pièce 8. De manière générale, les critiques du recourant portent essentiellement sur le principe de la perquisition et de ses modalités. Or, l’objet du présent recours est l’ordonnance de séquestre et non la perquisition. Si le recourant souhaitait contester la perquisition, il aurait dû agir par la voie du recours (art. 393 ss CPP) ou par le biais de la mise sous scellés (art. 248 CPP). Il n’y a donc pas lieu d’examiner ces griefs plus précisément. Enfin, les autres critiques portées par le recourant dans son mémoire de recours, telle que l’absence de lien entre les mots-clés et les sites pédophiles, portent sur le fond et n’ont pas à être traitées dans le présent arrêt. III. Requêtes de récusation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O.________ à l’encontre du Procureur [...] (art. 13 LVCPP).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