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620 vom 18. August 2016</w:t>
      </w:r>
    </w:p>
    <w:p>
      <w:r>
        <w:t>VD Tribunal cantonal, 2016-08-18, FR</w:t>
      </w:r>
    </w:p>
    <w:p>
      <w:r>
        <w:rPr>
          <w:b/>
        </w:rPr>
        <w:t xml:space="preserve">Quelle: </w:t>
      </w:r>
      <w:r>
        <w:t>https://mcp.opencaselaw.ch/entscheid/vd_findinfo_D_cision___2016___620</w:t>
      </w:r>
    </w:p>
    <w:p>
      <w:r>
        <w:t>FR: VD_FINDINFO Décision / 2016 / 620 du 18 août 2016</w:t>
      </w:r>
    </w:p>
    <w:p>
      <w:r>
        <w:t>IT: VD_FINDINFO Décision / 2016 / 620 del 18 agosto 2016</w:t>
      </w:r>
    </w:p>
    <w:p>
      <w:pPr>
        <w:pStyle w:val="Heading2"/>
      </w:pPr>
      <w:r>
        <w:t>Regeste</w:t>
      </w:r>
    </w:p>
    <w:p>
      <w:r>
        <w:t>ABUS DE CONFIANCE, DÉCISION D'IRRECEVABILITÉ, ADMISSION DE LA DEMANDE | 138 ch. 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auprès du Ministère public de l’arrondissement de l’Est vaudois qui l’a transmis à la Chambre des recours pénale en application de l’art. 91 al. 4 CPP, par le plaignant qui a qualité pour recourir (art. 382 al. 1 CPP), le recours est recevable.</w:t>
      </w:r>
    </w:p>
    <w:p>
      <w:r>
        <w:rPr>
          <w:b/>
        </w:rPr>
        <w:t>E. 2.1</w:t>
      </w:r>
    </w:p>
    <w:p>
      <w:r>
        <w:t>Conformément à l'art. 310 al. 1 CPP, le procureur rend immédiatement – c'est-à-dire sans qu'une instruction ne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(TF 1B_709/2012 du 21 février 2013 consid. 3.1 et les références citées).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Une non-entrée en matière s'impose lorsque le litige est de nature purement civile (TF 6B_271/2016 du 22 août 2016 consid. 2.1 et les références citées ; TF 1B_709/2012 précité consid. 3.1 in fine).</w:t>
      </w:r>
    </w:p>
    <w:p>
      <w:r>
        <w:rPr>
          <w:b/>
        </w:rPr>
        <w:t>E. 2.2</w:t>
      </w:r>
    </w:p>
    <w:p>
      <w:r>
        <w:t>Selon l’art. 138 ch. 1 al. 1 CP, se rend coupable d’abus de confiance celui qui, pour se procurer ou procurer à un tiers un enrichissement illégitime, se sera approprié une chose mobilière appartenant à autrui et qui lui avait été confiée. Cette infraction suppose notamment l'existence d'une chose mobilière sur laquelle une autre personne que l'auteur a un droit de propriété, même si ce droit n'est pas exclusif. Il faut en outre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Contrairement au voleur, qui soustrait la chose, l'auteur de l'abus de confiance a la maîtrise de la chose et se l'approprie, en violation du rapport de confiance (ATF 120 IV 276 consid. 2 ; TF 6B_361/2013 du 5 septembre 2013 consid. 3). Du point de vue subjectif, l'auteur doit avoir agi dans un dessein d'enrichissement illégitime, lequel peut être réalisé par dol éventuel (Dupuis et alii, Petit Commentaire du Code pénal, Bâle 2012, n. 45 ad. art. 138 CP).</w:t>
      </w:r>
    </w:p>
    <w:p>
      <w:r>
        <w:rPr>
          <w:b/>
        </w:rPr>
        <w:t>E. 2.3</w:t>
      </w:r>
    </w:p>
    <w:p>
      <w:r>
        <w:t>En l’espèce, s’il apparaît, aux termes de la plainte, que D.________ aurait effectivement contribué à l’œuvre de M.________ en y peignant un portrait et en y apposant sa propre signature, on ignore néanmoins, en l’état, à quel titre la sculpture lui a été laissée en dépôt par le plaignant. Partant, dès lors que les faits décrits par M.________ pourraient être constitutifs d’abus de confiance (art. 138 ch. 1 al. 1 CP) s’il était resté propriétaire de la sculpture, il s’agit d’instruire plus avant les faits afin de déterminer ce qui avait été convenu entre les parties au moment de la remise de l’œuvre par M.________ à D.________ et si ce dernier pouvait en disposer librement. Par conséquent, force est de constater que l’infraction d’abus de confiance (art. 138 ch. 1 al. 1 CP) ne peut être exclue à ce stade et qu’il y a matière à ouvrir une instruction contre D.________ pour ce chef de prévention.</w:t>
      </w:r>
    </w:p>
    <w:p>
      <w:r>
        <w:rPr>
          <w:b/>
        </w:rPr>
        <w:t>E. 3</w:t>
      </w:r>
    </w:p>
    <w:p>
      <w:r>
        <w:t>Au vu de ce qui précède, le recours de M.________ doit être admis, l’ordonnance attaquée annulée et le dossier de la cause renvoyé au Ministère public de l’arrondissement de l’Est vaudois pour qu’il procède dans le sens des considérants. Les frais de la procédure de recours, constitués en l’espèce du seul émolument d'arrêt, par 550 fr. (art. 20 al. 1 TFIP [tarif des frais judiciaires de procédure et indemnités en matière pénale du 28 septembre 2010; RSV 312.03.1]), seront laissés à la charge de l’Etat. Par ces motifs, la Chambre des recours pénale prononce : I. Le recours est admis. II. L’ordonnance de non-entrée en matière du 13 juillet 2016 est annulée. III. Le dossier de la cause est renvoyé au Ministère public de l’arrondissement de l’Est vaudois pour qu’il procède dans le sens des considérants. IV. Les frais d’arrêt, par 550 fr. (cinq cent cinquante francs), sont laissés à la charge de l’Etat. V. L’arrêt est exécutoire. Le président :               La greffière : Du Le présent arrêt, dont la rédaction a été approuvée à huis clos, est notifié, par l'envoi d'une copie complète, à : - Me Jean de Gautard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