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62 vom 22. Januar 2016</w:t>
      </w:r>
    </w:p>
    <w:p>
      <w:r>
        <w:t>VD Tribunal cantonal, 2016-01-22, FR</w:t>
      </w:r>
    </w:p>
    <w:p>
      <w:r>
        <w:rPr>
          <w:b/>
        </w:rPr>
        <w:t xml:space="preserve">Quelle: </w:t>
      </w:r>
      <w:r>
        <w:t>https://mcp.opencaselaw.ch/entscheid/vd_findinfo_D_cision___2016___62</w:t>
      </w:r>
    </w:p>
    <w:p>
      <w:r>
        <w:t>FR: VD_FINDINFO Décision / 2016 / 62 du 22 janvier 2016</w:t>
      </w:r>
    </w:p>
    <w:p>
      <w:r>
        <w:t>IT: VD_FINDINFO Décision / 2016 / 62 del 22 gennaio 2016</w:t>
      </w:r>
    </w:p>
    <w:p>
      <w:pPr>
        <w:pStyle w:val="Heading2"/>
      </w:pPr>
      <w:r>
        <w:t>Regeste</w:t>
      </w:r>
    </w:p>
    <w:p>
      <w:r>
        <w:t>INTÉRÊT JURIDIQUEMENT PROTÉGÉ, ACTE DE RECOURS, CLASSEMENT DE LA PROCÉDURE | 382 al. 1 CPP (CH)</w:t>
      </w:r>
    </w:p>
    <w:p>
      <w:pPr>
        <w:pStyle w:val="Heading2"/>
      </w:pPr>
      <w:r>
        <w:t>Erwägungen</w:t>
      </w:r>
    </w:p>
    <w:p>
      <w:r>
        <w:rPr>
          <w:b/>
        </w:rPr>
        <w:t>E. 15</w:t>
      </w:r>
    </w:p>
    <w:p>
      <w:r>
        <w:t>janvier 2016, C.________ a adressé à la Cour de céans un courrier, dans lequel il indiquait notamment « faire recours pour la plainte [déposée] contre [lui] pour vol, injure et menace », précisant qu’il n’avait rien à voir avec cette affaire. Il n’a pas été ordonné d’échange d’écritures. En droit : 1. 1.1 Les parties peuvent attaquer une ordonnance de classement rendue par le ministère public en application des art. 319 ss CPP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1.2 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in Kuhn/Jeanneret (éd.), Commentaire romand, Code de procédure pénale suisse, Bâle 2011, n. 2 ad art. 382 CPP ; CREP 15 septembre 2014/679 consid. 1.2). L’intérêt doit donc être personnel. N’a ainsi qualité pour recourir que le prévenu condamné, aussi bien sur l’action pénale que sur l’action civile. Le prévenu acquitté, fût-ce au bénéfice du doute, et alors même qu’il s’estimerait lésé dans les considérants, n’a pas d’intérêt à recourir, et son recours est irrecevable (ATF 101 IV 327, spéc. 330 ; ATF 103 II 155 consid. 3 ; CREP 22 juillet 2013/495 consid. 2b ; Calame, op. cit., n. 7 ad art. 382 CPP). La violation d’un intérêt relevant d’un autre sujet de droit est également insuffisante pour créer la qualité pour agir. Ainsi, un prévenu ne peut par exemple pas se plaindre de la manière dont un coprévenu a été traité (CREP 4 février 2015/95 consid. 1.2 ; Calame, loc. cit.; ATF 131 IV 191 consid. 1.2). 1.3 En l’espèce, le chiffre II du dispositif de l’ordonnance de classement entreprise met le recourant au bénéfice d’un classement, au sens de l’art. 319 CPP, dans la procédure dirigée contre lui pour voies de fait, vol, injure et menaces. Il résulte en outre du chiffre III du dispositif que les frais ont été laissés à la charge de l’Etat. On ne peut donc que constater que l’ordonnance entreprise n’atteint pas le recourant ni ne le lèse personnellement au sens juridique développé au considérant qui précède. Par ailleurs, l'ordonnance attaquée classe la procédure ouverte contre le coprévenu du recourant et celui-ci ne pourrait de toute façon pas se prévaloir d'un intérêt juridiquement protégé à sa condamnation, comme on l’a vu ci-avant. Il est dès lors manifeste que le recourant, qui a été mis au bénéfice d’une ordonnance de classement, sans frais ni indemnités à sa charge, n’est pas lésé dans ses droits par l’ordonnance, bien au contraire. 2. Il résulte de ce qui précède que le recours doit être déclaré irrecevable, sans autres échanges d’écritures (art. 390 al. 2 CPP). Les frais de la procédure de recours, constitués en l'espèce du seul émolument d'arrêt, par 440 fr. (art. 422 al. 1 CPP et 20 al. 1 TFIP [Tarif des frais de procédure et indemnités en matière pénale du 28 septembre 2010; RSV 312.03.1]), seront mis à la charge du recourant, qui succombe (art. 428a al. 1 CPP) Par ces motifs, la Chambre des recours pénale prononce : I. Le recours est irrecevable. II. Les frais d’arrêt, par 440 fr. (quatre cent quarante francs), sont mis à la charge de C.________. III. Le présent arrêt est exécutoire. Le président :               Le greffier : Du Le présent arrêt, dont la rédaction a été approuvée à huis clos, est notifié, par l'envoi d'une copie complète, à : - M. C.________,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