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61 vom 25. Januar 2016</w:t>
      </w:r>
    </w:p>
    <w:p>
      <w:r>
        <w:t>VD Tribunal cantonal, 2016-01-25, FR</w:t>
      </w:r>
    </w:p>
    <w:p>
      <w:r>
        <w:rPr>
          <w:b/>
        </w:rPr>
        <w:t xml:space="preserve">Quelle: </w:t>
      </w:r>
      <w:r>
        <w:t>https://mcp.opencaselaw.ch/entscheid/vd_findinfo_D_cision___2016___61</w:t>
      </w:r>
    </w:p>
    <w:p>
      <w:r>
        <w:t>FR: VD_FINDINFO Décision / 2016 / 61 du 25 janvier 2016</w:t>
      </w:r>
    </w:p>
    <w:p>
      <w:r>
        <w:t>IT: VD_FINDINFO Décision / 2016 / 61 del 25 gennaio 2016</w:t>
      </w:r>
    </w:p>
    <w:p>
      <w:pPr>
        <w:pStyle w:val="Heading2"/>
      </w:pPr>
      <w:r>
        <w:t>Regeste</w:t>
      </w:r>
    </w:p>
    <w:p>
      <w:r>
        <w:t>DÉCISION D'IRRECEVABILITÉ | 396 al. 1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396 al. 1 CPP; cf. art. 20 al. 1 let. b CPP), qui est dans le canton de Vaud la Chambre des recours pénale du Tribunal cantonal (art. 13 LVCPP [loi vaudoise d’introduction du Code de procédure pénale suisse; RSV 312.01]; art. 80 LOJV [loi vaudoise d’organisation judiciaire; RSV 173.01]). Le délai de recours de dix jours – qui ne peut être prolongé (cf. l’art. 89 al. 1 CPP) – commence à courir le jour qui suit la notification de l’ordonnance entreprise (cf. l’art. 90 al. 1 CPP). Le recours doit être remis au plus tard le dernier jour du délai à l’autorité pénale, à la Poste suisse, à une représentation consulaire ou diplomatique suisse ou, s’agissant de personnes détenues, à la direction de l’établissement carcéral (cf. l’art. 91 al. 2 CPP).</w:t>
      </w:r>
    </w:p>
    <w:p>
      <w:r>
        <w:rPr>
          <w:b/>
        </w:rPr>
        <w:t>E. 1.2</w:t>
      </w:r>
    </w:p>
    <w:p>
      <w:r>
        <w:t>En l’espèce, il est incontesté que le recourant a reçu l’ordonnance du 29 août 2014 dans un délai usuel, soit au plus tard le troisième jour ouvrable suivant le dépôt de l’ordonnance, hormis le samedi, soit en l’occurrence le 9 septembre 2014 (cf. notamment CREP 3 septembre 2014/637). En effet, le recourant ne fait en particulier pas valoir que l’acheminement du pli aurait duré plus d’une année. Le recourant excipe en revanche de problèmes de santé. Il soutient ainsi avoir été empêché d'observer le délai de recours pour cause de force majeure. Il n’étaye cependant nullement ce moyen par pièces, alors même qu’il lui aurait été loisible de le faire notamment en produisant un certificat médical établissant un empêchement objectif pour des raisons de santé durant la période considérée. A cet égard, le seul avis médical produit, soit le certificat du CHUV du 31 mars 2014 (P. 7/3), se rapporte à la période du 29 au 31 mars 2014, jour du retour à domicile du patient après une hospitalisation. On ne saurait donc retenir que la partie ait été hors d’état de recourir contre l’ordonnance du 29 août 2014 dans le délai de dix jours ayant commencé à courir le mercredi 10 septembre 2014, lendemain du jour réputé avoir été celui de la notification de l’ordonnance. Au demeurant, le recours n’est de toute manière pas assorti d’une requête de restitution de délai (art. 94 CPP).</w:t>
      </w:r>
    </w:p>
    <w:p>
      <w:r>
        <w:rPr>
          <w:b/>
        </w:rPr>
        <w:t>E. 2</w:t>
      </w:r>
    </w:p>
    <w:p>
      <w:r>
        <w:t>En définitive, le recours, manifestement tardif, doit être déclaré irrecevable sans interpellation du Ministère public (art. 390 al. 2 CPP). Vu l’issue du recours, les frais de la procédure de recours, constitués en l’espèce du seul émolument d'arrêt, par 440 fr. (art. 20 al. 1 TFIP [Tarif des frais de procédure et indemnités en matière pénale du 28 septembre 2010; RSV 312.03.1]), seront mis à la charge du recourant, qui succombe, l’irrecevabilité du recours étant assimilée à son rejet quant au sort des frais (art. 428 al. 1, seconde phrase, CPP ). Par ces motifs, la Chambre des recours pénale, prononce : I. Le recours est irrecevable. II. Les frais d'arrêt, par 440 fr. (quatre cent quarante francs), sont mis à la charge du recourant. III. Le présent arrêt est exécutoire. Le président :               Le greffier : Du L'arrêt qui précède, dont la rédaction a été approuvée à huis clos, est notifié, par l'envoi d'une copie complète, à : - M.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