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60 vom 18. Januar 2016</w:t>
      </w:r>
    </w:p>
    <w:p>
      <w:r>
        <w:t>VD Tribunal cantonal, 2016-01-18, FR</w:t>
      </w:r>
    </w:p>
    <w:p>
      <w:r>
        <w:rPr>
          <w:b/>
        </w:rPr>
        <w:t xml:space="preserve">Quelle: </w:t>
      </w:r>
      <w:r>
        <w:t>https://mcp.opencaselaw.ch/entscheid/vd_findinfo_D_cision___2016___60</w:t>
      </w:r>
    </w:p>
    <w:p>
      <w:r>
        <w:t>FR: VD_FINDINFO Décision / 2016 / 60 du 18 janvier 2016</w:t>
      </w:r>
    </w:p>
    <w:p>
      <w:r>
        <w:t>IT: VD_FINDINFO Décision / 2016 / 60 del 18 gennaio 2016</w:t>
      </w:r>
    </w:p>
    <w:p>
      <w:pPr>
        <w:pStyle w:val="Heading2"/>
      </w:pPr>
      <w:r>
        <w:t>Regeste</w:t>
      </w:r>
    </w:p>
    <w:p>
      <w:r>
        <w:t>DÉCISION D'IRRECEVABILITÉ, DÉLAI DE RECOURS | 310 CPP (CH), 322 al. 1 CPP (CH), 322 al. 2 CPP (CH)</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322 al. 2 CPP, applicable par renvoi de l’art. 310 al. 2 CPP, et 396 al. 1 CPP; cf. art. 20 al. 1 let. b CPP), qui est dans le canton de Vaud la Chambre des recours pénale du Tribunal cantonal (art. 13 LVCPP [loi vaudoise d’introduction du Code de procédure pénale suisse ; RSV 312.01] ; art. 80 LOJV [loi vaudoise d’organisation judiciaire ; RSV 173.01]).</w:t>
      </w:r>
    </w:p>
    <w:p>
      <w:r>
        <w:rPr>
          <w:b/>
        </w:rPr>
        <w:t>E. 1.2</w:t>
      </w:r>
    </w:p>
    <w:p>
      <w:r>
        <w:t>Le délai de recours de dix jours – qui ne peut être prolongé (art. 89 al. 1 CPP) – commence à courir le jour qui suit la notification de l’ordonnance entreprise (art. 90 al. 1 et 384 let. b CPP; Calame, in: Kuhn/Jeanneret (éd.), Commentaire romand, Code de procédure pénale suisse, Bâle 2011, n. 3 ad art. 384 CPP). En cas d’envoi recommandé, l’acte est réputé notifié le dernier jour du délai de garde de sept jours (cf. art. 85 al. 4 let. a CPP). Cette présomption trouve également application en cas de demande de garde de courrier (poste restante) (TF 1P.369/2000 du 24 juillet 2000 consid. 1b). On considère en d’autres termes que l’avis de retrait, qui mentionne l’existence du délai de garde de sept jours, parvient dans la sphère d’influence au moment où il est déposé à l’office de poste chargé de garder le courrier. En cas d’envoi par pli simple (en poste restante), c’est l’acte lui-même qui parvient dans la sphère d’influence du destinataire lorsqu’il est déposé à l’office chargé de garder le courrier. Le délai de recours commence dès lors à courir dès le jour qui suit le dépôt (cf., par analogie, s’agissant d’un dépôt dans une case postale : TF 2C_926/2014 du 17 octobre 2014 consid. 3.3).</w:t>
      </w:r>
    </w:p>
    <w:p>
      <w:r>
        <w:rPr>
          <w:b/>
        </w:rPr>
        <w:t>E. 1.3</w:t>
      </w:r>
    </w:p>
    <w:p>
      <w:r>
        <w:t>En l’espèce, l’ordonnance du 10 juin 2015, adressée le 16 juin 2015 par pli simple en poste restante, a été notifiée le 17 juin 2015, jour de son dépôt en poste restante à l’Office de poste de [...]. Le délai de recours de dix jours a dès lors commencé à courir le 18 juin 2015 et il est arrivé à échéance le 29 juin 2015, le 27 juin 2015 étant un samedi (cf. art. 90 al. 2 CPP). Force est ainsi de constater que l’acte de recours, remis à la Poste le 5 octobre 2015, a été déposé tardivement.</w:t>
      </w:r>
    </w:p>
    <w:p>
      <w:r>
        <w:rPr>
          <w:b/>
        </w:rPr>
        <w:t>E. 2</w:t>
      </w:r>
    </w:p>
    <w:p>
      <w:r>
        <w:t>Il résulte de ce qui précède que le recours doit être déclaré irrecevable, sans autre échange d’écritures (art. 390 al. 2 CPP). Les frais de la procédure de recours, constitués du seul émolument d'arrêt, par 440 fr. (art. 20 al. 1 TFIP [tarif des frais de procédure et indemnités en matière pénale du 28 septembre 2010, RSV 312.03.1]), seront mis à la charge de la recourante, qui succombe (art. 428 al. 1 CPP). Par ces motifs, la Chambre des recours pénale prononce : I. Le recours est irrecevable. II. Les frais d’arrêt, par 440 fr. (quatre cent quarante francs), sont mis à la charge de la recourante. III. Le présent arrêt est exécutoire. Le président :               Le greffier : Du Le présent arrêt, dont la rédaction a été approuvée à huis clos, est notifié, par l'envoi d'une copie complète, à : - Mme S.________,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