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583 vom 9. August 2016</w:t>
      </w:r>
    </w:p>
    <w:p>
      <w:r>
        <w:t>VD Tribunal cantonal, 2016-08-09, FR</w:t>
      </w:r>
    </w:p>
    <w:p>
      <w:r>
        <w:rPr>
          <w:b/>
        </w:rPr>
        <w:t xml:space="preserve">Quelle: </w:t>
      </w:r>
      <w:r>
        <w:t>https://mcp.opencaselaw.ch/entscheid/vd_findinfo_D_cision___2016___583</w:t>
      </w:r>
    </w:p>
    <w:p>
      <w:r>
        <w:t>FR: VD_FINDINFO Décision / 2016 / 583 du 9 août 2016</w:t>
      </w:r>
    </w:p>
    <w:p>
      <w:r>
        <w:t>IT: VD_FINDINFO Décision / 2016 / 583 del 9 agosto 2016</w:t>
      </w:r>
    </w:p>
    <w:p>
      <w:pPr>
        <w:pStyle w:val="Heading2"/>
      </w:pPr>
      <w:r>
        <w:t>Regeste</w:t>
      </w:r>
    </w:p>
    <w:p>
      <w:r>
        <w:t>CLASSEMENT DE LA PROCÉDURE, QUALITÉ POUR RECOURIR, CIRCULATION ROUTIÈRE{DROIT DE LA CIRCULATION ROUTIÈRE}, CONTRAINTE{DROIT PÉNAL}, ADMISSION DE LA DEMANDE | 181 CP, 319 al. 1 CPP (CH), 382 al. 1 CPP (CH)</w:t>
      </w:r>
    </w:p>
    <w:p>
      <w:pPr>
        <w:pStyle w:val="Heading2"/>
      </w:pPr>
      <w:r>
        <w:t>Erwägungen</w:t>
      </w:r>
    </w:p>
    <w:p>
      <w:r>
        <w:rPr>
          <w:b/>
        </w:rPr>
        <w:t>E. 1.1</w:t>
      </w:r>
    </w:p>
    <w:p>
      <w:r>
        <w:t>Interjeté en temps utile (art. 322 al. 2 CPP [Code de procédure pénale suisse du 5 octobre 2007 ; RS 312.0]) contre une ordonnance de classement rendue par le Ministère public (art. 393 al. 1 let. a CPP) auprès de la Chambre des recours pénale du Tribunal cantonal (art. 396 al. 1 CPP ; art. 13 LVCPP [Loi d’introduction du Code de procédure pénale suisse du 19 mai 2009 ; RSV 312.01] ; art. 80 LOJV, [Loi d’organisation judiciaire du 12 décembre 1979 ; RSV 173.01]), le recours de F.________ est recevable en la forme.</w:t>
      </w:r>
    </w:p>
    <w:p>
      <w:r>
        <w:rPr>
          <w:b/>
        </w:rPr>
        <w:t>E. 1.2</w:t>
      </w:r>
    </w:p>
    <w:p>
      <w:r>
        <w:t>Il y a toutefois lieu d’examiner si le recourant a un intérêt juridiquement protégé au sens de l’art. 382 al. 1 CPP à contester l’ordonnance de classement dans la mesure où il fait valoir que A.H.________ devrait être condamné pour violation grave des règles de la circulation routière (art. 37 al. 2 LCR [loi fédérale sur la circulation routière du 19 décembre 1958 ; RS 741.01] en relation avec l’art. 90 al. 2 LCR).</w:t>
      </w:r>
    </w:p>
    <w:p>
      <w:r>
        <w:rPr>
          <w:b/>
        </w:rPr>
        <w:t>E. 1.2.1</w:t>
      </w:r>
    </w:p>
    <w:p>
      <w:r>
        <w:t>La partie qui entend recourir contre une décision doit avoir un intérêt juridiquement protégé à l’annulation ou la modification de celle-ci (art. 382 al. 1 CPP). Elle doit démontrer en quoi la décision attaquée viole une règle de droit destinée à protéger ses intérêts et en quoi elle en déduit un droit subjectif (Moreillon/Parein-Reymond, Petit Commentaire du Code de procédure pénale, Bâle 2016, 2 e éd., n. 3 ad art. 382 CPP). A cet égard, le Tribunal fédéral a en particulier eu l'occasion de préciser que les règles de la LCR ne protègent la propriété, respectivement les biens des usagers de la route, que de manière indirecte et qu’une personne qui n’a pas été atteinte dans son intégrité corporelle par la violation alléguée des règles de la circulation n’est pas touchée directement dans ses droits au sens de l’art. 115 al. 1 CPP. Partant, elle n’a pas qualité pour recourir en matière pénale sur base de l’art. 81 al. 1 let. b ch. 5 LTF (loi du 17 juin 2005 sur le Tribunal fédéral ; RS 173.110 ; ATF 138 IV 258 consid. 4, JdT 2013 IV 214 ; TF 6B_399/2012 du 12 novembre 2012 consid. 2). Elle n'a pas non plus qualité pour recourir au sens des art. 393 ss CPP contre une ordonnance de classement (TF 1B_723/2012 du 15 mars 2013 consid. 4 ; CREP 20 juin 2014/423 consid. 1 et les références citées).</w:t>
      </w:r>
    </w:p>
    <w:p>
      <w:r>
        <w:rPr>
          <w:b/>
        </w:rPr>
        <w:t>E. 1.2.2</w:t>
      </w:r>
    </w:p>
    <w:p>
      <w:r>
        <w:t>En l’espèce, F.________, qui n’a subi aucune atteinte à son intégrité corporelle lors des événements du 7 mai 2015, n’est pas directement touché dans ses droits par les infractions à la LCR qu’auraient commises les prévenus et n’a pas qualité pour recourir sur ce point. Le recours est donc irrecevable dans cette mesure. Le recours de F.________ est en revanche recevable en tant qu'il concerne l’infraction de contrainte, qui protège la liberté de décision et d’action de l’individu (Dupuis et alii, Petit Commentaire du Code pénal, Bâle 2012, n. 3 ad art. 181 CP et les références citées).</w:t>
      </w:r>
    </w:p>
    <w:p>
      <w:r>
        <w:rPr>
          <w:b/>
        </w:rPr>
        <w:t>E. 2</w:t>
      </w:r>
    </w:p>
    <w:p>
      <w:r>
        <w:t>Le recourant se plaint d’une violation du droit dans l’application de l’art. 181 CP. Il soutient, en substance, que A.H.________ et B.________ l’auraient empêché de circuler pendant un certain temps en entravant successivement la route de […] avec un tracteur.</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TF 6B_236/2013 du 16 juillet 2013 consid. 3.1.1).</w:t>
      </w:r>
    </w:p>
    <w:p>
      <w:r>
        <w:rPr>
          <w:b/>
        </w:rPr>
        <w:t>E. 2.2</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N’importe quelle pression de peu d’importance ne suffit pas pour entraver une personne dans sa liberté d’action. Il faut que le moyen de contrainte utilisé soit, comme pour la violence ou la menace d’un dommage sérieux, propre à impressionner une personne de sensibilité moyenne et à l'entraver d'une manière substantielle dans sa liberté de décision ou d'action. Il s'agit donc de moyens qui, par leur intensité et leur effet, sont analogues à ceux cités expressément par la loi.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(TF 6B_719/2015 du 4 mai 2016 consid. 2.1 et les références citées).</w:t>
      </w:r>
    </w:p>
    <w:p>
      <w:r>
        <w:rPr>
          <w:b/>
        </w:rPr>
        <w:t>E. 2.3</w:t>
      </w:r>
    </w:p>
    <w:p>
      <w:r>
        <w:t>En l’espèce, il est établi que A.H.________, qui au demeurant l’admet, a volontairement positionné son tracteur en travers de la route de manière à empêcher F.________ de circuler pour pouvoir discuter avec lui. Ce dernier a ainsi été entravé dans sa liberté de mouvement durant un certain temps et d’autres automobilistes ont d’ailleurs été bloqués derrière lui. Le fait que le recourant aurait pu quitter les lieux dans un second temps – soit lorsque ni le tracteur de A.H.________, ni celui de B.________ n’entravaient la route et qu’aucun véhicule ne se trouvait derrière lui – et qu’il ait choisi d’attendre l’arrivée de la police en restant sur place n’est pas pertinent. En effet, force est de constater que le comportement de A.H.________ consistant à positionner volontairement son tracteur en travers de la route pour empêcher F.________ de passer, l’entravant ainsi dans sa liberté d’action pendant au moins plusieurs minutes, paraît déjà, en soi, constitutif de contrainte, au sens de l’art. 181 CP. La commission de cette infraction ne saurait ainsi être niée du seul fait que le recourant a ensuite recouvré sa liberté de mouvement. Le Tribunal fédéral a d’ailleurs jugé que celui qui maintient abaissée, par des chaînes, une barrière de passage à niveau, en immobilise le treuil avec une colle instantanée et paralyse ainsi le trafic routier pendant une dizaine de minutes se rend coupable de contrainte, même si les autres usagers auraient pu contourner l’obstacle par d’autres voies (ATF 119 IV 301 consid. 3a, JdT 1995 IV 147). Au vu de ce qui précède, les éléments constitutifs de l’infraction de contrainte paraissant réalisés, il appartiendra au procureur d’instruire plus avant la présente cause sur ce point. Pour le surplus, dès lors qu’il n’existe pas suffisamment d’indices au dossier permettant d’envisager l’infraction de dénonciation calomnieuse et que le recourant ne conteste pas l’ordonnance de classement sur ce point, cette question ne sera pas davantage examinée.</w:t>
      </w:r>
    </w:p>
    <w:p>
      <w:r>
        <w:rPr>
          <w:b/>
        </w:rPr>
        <w:t>E. 3</w:t>
      </w:r>
    </w:p>
    <w:p>
      <w:r>
        <w:t>En définitive, le recours doit être admis dans la mesure où il est recevable et l'ordonnance de classement annulée en ce qui concerne le classement de la procédure pénale dirigée contre B.________ et A.H.________ pour l’infraction de contrainte ainsi qu’en ce qui concerne les frais de procédure. Les frais de la procédure de recours, constitués du seul émolument d'arrêt, par 880 fr. (art. 20 al. 1 TFIP [tarif des frais de procédure et indemnités en matière pénale du 28 septembre 2010, RSV 312.03.1]), seront laissés à la charge de l’Etat (423 al. 1 CPP). Par ces motifs, la Chambre des recours pénale prononce : I. Le recours est partiellement admis dans la mesure où il est recevable. II. L’ordonnance du 30 mai 2016 est annulée en ce qui concerne le classement de la procédure pénale dirigée contre B.________ et A.H.________ pour l’infraction de contrainte, ainsi qu’en ce qui concerne les frais de procédure. Elle est confirmée pour le surplus. III. Le dossier de la cause est renvoyé au Ministère public de l’arrondissement de La Côte pour qu’il procède dans le sens des considérants, puis rende une nouvelle décision. IV. Les frais d’arrêt, par 880 fr. (huit cent huitante francs), sont laissés à la charge de l’Etat. V. L’arrêt est exécutoire. Le président :               La greffière : Du Le présent arrêt, dont la rédaction a été approuvée à huis clos, est notifié, par l'envoi d'une copie complète, à : - Me Nicolas Rouiller (pour F.________), - A.H.________, - B.H.________, -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