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568 vom 25. August 2016</w:t>
      </w:r>
    </w:p>
    <w:p>
      <w:r>
        <w:t>VD Tribunal cantonal, 2016-08-25, FR</w:t>
      </w:r>
    </w:p>
    <w:p>
      <w:r>
        <w:rPr>
          <w:b/>
        </w:rPr>
        <w:t xml:space="preserve">Quelle: </w:t>
      </w:r>
      <w:r>
        <w:t>https://mcp.opencaselaw.ch/entscheid/vd_findinfo_D_cision___2016___568</w:t>
      </w:r>
    </w:p>
    <w:p>
      <w:r>
        <w:t>FR: VD_FINDINFO Décision / 2016 / 568 du 25 août 2016</w:t>
      </w:r>
    </w:p>
    <w:p>
      <w:r>
        <w:t>IT: VD_FINDINFO Décision / 2016 / 568 del 25 agosto 2016</w:t>
      </w:r>
    </w:p>
    <w:p>
      <w:pPr>
        <w:pStyle w:val="Heading2"/>
      </w:pPr>
      <w:r>
        <w:t>Regeste</w:t>
      </w:r>
    </w:p>
    <w:p>
      <w:r>
        <w:t>DÉFENSE D'OFFICE, DÉFENSE DE CHOIX | 129 al. 2 CPP (CH), 132 CPP (CH), 133 al. 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Q.________ est recevable (Moreillon/Parein-Reymond, Code de procédure pénale, Petit commentaire, Bâle 2016, n. 18 ad art. 132 CPP ; CREP 14 mars 2016/189).</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la direction de la procédure pourvoit à ce que le prévenu soit assisté aussitôt d’un défenseur (art. 131 al. 1 CPP). En cas de défense obligatoire au sens de l’ar t. 130 CPP, la direction de la procédure ordonne une défense d’office si le prévenu malgré l’invitation de la direction de la procédure, ne désigne pas de défenseur privé (art. 132 al. 1 let. a ch. 1 CPP) ou si le mandat est retiré au défenseur privé ou que celui-ci a décliné le mandat et que le prévenu n’a pas désigné un nouveau défenseur dans le délai imparti (art. 132 al. 1 let. a ch. 2 CPP). Dans une situation de défense obligatoire, l'autorité de désignation doit s'assurer que le prévenu dispose tout au long de la procédure d'un conseil juridique, jusqu'au prononcé du jugement entré en force: cela sert non seulement l'intérêt du prévenu, mais va aussi dans le sens d'une administration de la justice qui garantit le déroulement d'un procès équitable (ATF 129 I 281 consid. 4.3 p. 287; Piquerez/Macaluso, Procédure pénale suisse, 3e éd. 2011, n. 822; Niklaus Oberholzer, Grundzüge des Strafprozessrechts, 3 e éd. 2012,, n. 435). Si l'autorité a désigné un défenseur d'office, le prévenu peut néanmoins opter à tout moment de la procédure pour une défense privée, qu'il devra alors rémunérer lui-même (cf. art. 129 al. 1 CPP, TF 6B_500/2012 du 4 avril 2013 consid. 4.2; Viktor Lieber, in Donatsch/Hansjakob/Lieber [éd.], Kommentar zur Schweizerischen Strafprozessordnung, 2 e éd. 2014, n. 2 ad art. 134 CPP). Il est alors justifié que l'autorité de désignation s'assure auprès du prévenu qu'il sera en mesure de supporter les frais de son avocat de choix, au moins jusqu'à la clôture de la procédure de première instance (TF 6B_500/2012 précité ; Niklaus Ruckstuhl, in Basler Kommentar StPO, 2011, n. 2 ad art. 134 CPP).</w:t>
      </w:r>
    </w:p>
    <w:p>
      <w:r>
        <w:rPr>
          <w:b/>
        </w:rPr>
        <w:t>E. 2.2</w:t>
      </w:r>
    </w:p>
    <w:p>
      <w:r>
        <w:t>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 RS 101) et 6 par. 3 let. c CEDH (Convention du 4 novembre 1950 de sauvegarde des droits de l'homme et des libertés fondamen­tales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 Message du Conseil fédéral du 21 décembre 2005 relatif à l'unification du droit de la procédure [Message], FF 2006 p. 1057, spéc. p. 1159).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 L'art. 134 al. 2 CPP prévoit que si la relation de confiance entre le prévenu et le défenseur d'office est gravement perturbée ou si une défense efficace n'est plus assurée pour d'autres raisons, la direction de la procédure confie la défense d'office à une autre personne.</w:t>
      </w:r>
    </w:p>
    <w:p>
      <w:r>
        <w:rPr>
          <w:b/>
        </w:rPr>
        <w:t>E. 2.3</w:t>
      </w:r>
    </w:p>
    <w:p>
      <w:r>
        <w:t>Q.________, qui bénéficiait d’un défenseur d’office en la personne de Me Estelle Chanson, a choisi de mandater un défenseur de choix, soit Me Carolina Olloqui, en indiquant avoir les moyens de s’acquitter des honoraires de cette dernière. Il est ensuite revenu sur ses déclarations et a sollicité la désignation de la prénommée comme avocate d’office. Désigner avocat d’office l’avocat de choix, huit jours après qu’il ait confirmé que son client avait les moyens de payer les honoraires à venir, et sans un changement radical de la situation engendrant soudainement d’importants frais supplémentaires non prévus, reviendrait à permettre à un prévenu de choisir son avocat d’office, ce qui est contraire à la jurisprudence (cf. consid. 2.2 supra). Le recourant n’invoque du reste aucune circonstance exceptionnelle qui permettrait d’admettre une telle requête, se contentant de soutenir que finalement il n’aurait pas les moyens financiers de s’offrir un défenseur de choix alors qu’il affirmait le contraire quelques jours auparavant. Il est en outre à relever que cette situation inconfortable relève également du fait que Me Carolina Olloqui parait avoir été négligente et aurait dû se renseigner sur l’ampleur du dossier, voire sur les possibilités de financement réelles de son client ou de la famille de ce dernier avant d’accepter de se constituer défenseur de choix en remplacement d’un défenseur d’office déjà nommé. Enfin, l’argument du fort lien de confiance qui se serait créé entre Q.________ et Me Carolina Olloqui après un mandat de 12 jours ne résiste pas à l’examen. On soulignera au demeurant qu’en date du 11 août 2016, Q.________ a écrit à la Procureure en déclarant ne plus vouloir être représenté par Me Carolina Olloqui, mais par Me Dimitri Gaulis (P. 34).</w:t>
      </w:r>
    </w:p>
    <w:p>
      <w:r>
        <w:rPr>
          <w:b/>
        </w:rPr>
        <w:t>E. 3</w:t>
      </w:r>
    </w:p>
    <w:p>
      <w:r>
        <w:t>En définitive, le recours, manifestement mal fondé, doit être rejeté sans autres échanges d’écritures (art. 390 al. 2 CPP) et l’ordonnance du 12 août 2016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12 août 2016 est confirmée. III. Les frais d’arrêt, par 660 fr. (six cent soixante francs), sont mis à la charge de Q.________. IV. L’arrêt est exécutoire. Le président :               La greffière : Du Le présent arrêt, dont la rédaction a été approuvée à huis clos, est notifié, par l'envoi d'une copie complète, à : - Me Carolina Olloqui, avocate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