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54 vom 11. Dezember 2015</w:t>
      </w:r>
    </w:p>
    <w:p>
      <w:r>
        <w:t>VD Tribunal cantonal, 2015-12-11, FR</w:t>
      </w:r>
    </w:p>
    <w:p>
      <w:r>
        <w:rPr>
          <w:b/>
        </w:rPr>
        <w:t xml:space="preserve">Quelle: </w:t>
      </w:r>
      <w:r>
        <w:t>https://mcp.opencaselaw.ch/entscheid/vd_findinfo_D_cision___2016___54</w:t>
      </w:r>
    </w:p>
    <w:p>
      <w:r>
        <w:t>FR: VD_FINDINFO Décision / 2016 / 54 du 11 décembre 2015</w:t>
      </w:r>
    </w:p>
    <w:p>
      <w:r>
        <w:t>IT: VD_FINDINFO Décision / 2016 / 54 del 11 dicembre 2015</w:t>
      </w:r>
    </w:p>
    <w:p>
      <w:pPr>
        <w:pStyle w:val="Heading2"/>
      </w:pPr>
      <w:r>
        <w:t>Regeste</w:t>
      </w:r>
    </w:p>
    <w:p>
      <w:r>
        <w:t>UNITÉ DE LA PROCÉDURE, JONCTION DE CAUSES | 29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par laquelle le Ministère public ordonne la jonction ou la disjonction de procédures pénales (art. 30 CPP) est ainsi susceptible de recours au sens des art. 393 ss CPP (Stephenson/Thiriet, in : Niggli/Heer/Wiprächtiger [éd.], Basler Kommentar, Schweizerische Strafprozess-ordnung, Jugendstrafprozessordnung, 2 e éd., Bâle 2014, n. 10 ad art. 393 CPP ; CREP 9 juin 2015/415 ; CREP 4 mai 2015/302 consid. 1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 En l'espèce, interjeté dans le délai légal auprès de l’autorité compétente par la partie plaignante, qui a qualité pour recourir (cf. art. 382 al. 1 CPP), et satisfaisant aux conditions de forme posées par la loi (cf. art. 385 al. 1 CPP), le recours est recevable.</w:t>
      </w:r>
    </w:p>
    <w:p>
      <w:r>
        <w:rPr>
          <w:b/>
        </w:rPr>
        <w:t>E. 2.1</w:t>
      </w:r>
    </w:p>
    <w:p>
      <w:r>
        <w:t>Le recourant soutient que les deux enquêtes instruites à l’encontre de H.________ n’auraient aucun lien de connexité et que la motivation de l’ordonnance litigieuse ne serait pas suffisante. Il se plaint également du fait qu’une jonction des causes lui porterait préjudice dans le sens où il ne pourrait plus représenter E.________ dans le cadre de la procédure.</w:t>
      </w:r>
    </w:p>
    <w:p>
      <w:r>
        <w:rPr>
          <w:b/>
        </w:rPr>
        <w:t>E. 2.2.1</w:t>
      </w:r>
    </w:p>
    <w:p>
      <w:r>
        <w:t>L e droit d'être entendu, garanti tant par l'art. 29 al. 2 Cst. (Constitution fédérale de la Confédération suisse du 18 avril 1999 ; RS 101) que par l’art. 3 al. 2 let. c CPP, comporte celui de recevoir une décision suffisamment motivée. Ce droit impose en particulier au juge de motiver sa décision, afin que le justiciable puisse la comprendre et exercer ses droits de recours à bon escient. L'objet et la précision des indications à fournir dépendent de la nature de l'affaire et des circonstances particulières du cas ;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consid. 5.1 et les références citées). Il n'a donc pas l'obligation d'exposer et de discuter tous les faits, moyens de preuve et griefs invoqués par les parties, mais peut au contraire se limiter à l'examen des questions décisives pour l'issue du litige (ATF 139 IV 179 consid. 2.2 ; TF 6B_932/2013 du 31 mars 2014).</w:t>
      </w:r>
    </w:p>
    <w:p>
      <w:r>
        <w:rPr>
          <w:b/>
        </w:rPr>
        <w:t>E. 2.2.2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procédure la règle, dans un but d'économie de procédure, mais aussi dans celui de prévenir des décisions contraires (cf. ATF 138 IV 214 consid. 3.2 ; ATF 138 IV 29, JdT 2012 IV 185 ; cf. ég. Moreillon/Parein-Reymond, Petit Commentaire du Code de procédure pénale, Bâle 2013, n. 2 ad art. 30 CPP). La disjonction doit ainsi être fondée sur des motifs concrets et objectifs.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consid. 3.2 et les références citées ; Bertossa, in : Kuhn/Jeanneret [éd.], Commentaire romand, Code de procédure pénale suisse, Bâle 2011, n. 2 ad art. 30 CPP ; CREP 30 janvier 2015/74).</w:t>
      </w:r>
    </w:p>
    <w:p>
      <w:r>
        <w:rPr>
          <w:b/>
        </w:rPr>
        <w:t>E. 2.3</w:t>
      </w:r>
    </w:p>
    <w:p>
      <w:r>
        <w:t>En l’espèce, si l’on peut admettre avec le recourant que la motivation de l’ordonnance de jonction est succincte, notamment par l’unique mention du terme de « causes connexes » – critère qui ne figure d’ailleurs pas parmi ceux prévus par le CPP, ni par le Code de procédure civile (cf. Bohnet et al., Code de procédure civile commenté, Bâle 2011, n. 6 ad art. 125 CPC) –, on comprend toutefois que le Ministère public a décidé de joindre les causes afin de respecter le principe de l’unité de la procédure prévu à l’art. 29 al. 1 CPP. A ce titre, le mémoire de recours démontre que le recourant a tout à fait été en mesure de se rendre compte de la portée de l’ordonnance sur ce point et de l’attaquer en toute connaissance de cause. Force est donc de constater que la motivation de l’ordonnance a permis à ce dernier d’en contester tous les points qu’il entendait soumettre à la cognition de la Cour de céans. Dès lors, la motivation de l’ordonnance attaquée apparaît suffisante au regard des exigences déduites de l’ordre constitutionnel. Cela étant, le principe de l’unité de la procédure commande que lorsque deux plaintes concernant des faits similaires sont déposées contre le même prévenu, les infractions commises par ce dernier doivent être poursuivies et jugées conjointement. Dans ces conditions, il importe que H.________ soit jugé en une seule fois pour l’ensemble des faits qui lui sont reprochés. A cet égard, il apparaît que le motif invoqué par le recourant, tenant au fait qu’il ne pourrait plus représenter E.________ en cas de jonction, ne constitue pas une raison objective suffisante pour s’écarter du principe de l’unité de la procédure. Par conséquent, au vu de ce qui précède, aucun motif susceptible de justifier une instruction séparée ne ressortant du dossier, c’est à juste titre que le Ministère public a ordonné la jonction des causes.</w:t>
      </w:r>
    </w:p>
    <w:p>
      <w:r>
        <w:rPr>
          <w:b/>
        </w:rPr>
        <w:t>E. 3</w:t>
      </w:r>
    </w:p>
    <w:p>
      <w:r>
        <w:t>En définitive, le recours doit être rejeté, sans autre échange d’écritures (art. 390 al. 2 CPP), et l’ordonnance du 24 novembre 2015 confirmée. Les frais de la procédure de recours, constitués en l’espèce du seul émolument d'arrêt (art. 422 al. 1 CPP), par 660 fr. (art. 20 al. 1 TFIP [Tarif des frais de procédure et indemnités en matière pénale du 28 septembre 2010 ; RSV 312.03.1]), doivent être mis à la charge du recourant, qui succombe (art. 428 al. 1 CPP). Par ces motifs, la Chambre des recours pénale prononce : I. Le recours est rejeté. II. L’ordonnance du 24 novembre 2015 est confirmée. III. Les frais d’arrêt, par 660 fr. (six cent soixante francs) sont mis à la charge de W.________. IV. Le présent arrêt est exécutoire. Le président :               La greffière : Du Le présent arrêt, dont la rédaction a été approuvée à huis clos, est notifié, par l'envoi d'une copie complète, à : - Me W.________, avocat, - M. E.________, - Me Charles Poncet, avocat (pour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