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493 vom 19. Juli 2016</w:t>
      </w:r>
    </w:p>
    <w:p>
      <w:r>
        <w:t>VD Tribunal cantonal, 2016-07-19, FR</w:t>
      </w:r>
    </w:p>
    <w:p>
      <w:r>
        <w:rPr>
          <w:b/>
        </w:rPr>
        <w:t xml:space="preserve">Quelle: </w:t>
      </w:r>
      <w:r>
        <w:t>https://mcp.opencaselaw.ch/entscheid/vd_findinfo_D_cision___2016___493</w:t>
      </w:r>
    </w:p>
    <w:p>
      <w:r>
        <w:t>FR: VD_FINDINFO Décision / 2016 / 493 du 19 juillet 2016</w:t>
      </w:r>
    </w:p>
    <w:p>
      <w:r>
        <w:t>IT: VD_FINDINFO Décision / 2016 / 493 del 19 luglio 2016</w:t>
      </w:r>
    </w:p>
    <w:p>
      <w:pPr>
        <w:pStyle w:val="Heading2"/>
      </w:pPr>
      <w:r>
        <w:t>Regeste</w:t>
      </w:r>
    </w:p>
    <w:p>
      <w:r>
        <w:t>EXÉCUTION ANTICIPÉE DES PEINES ET DES MESURES, RISQUE DE COLLUSION | 236 CPP (CH)</w:t>
      </w:r>
    </w:p>
    <w:p>
      <w:pPr>
        <w:pStyle w:val="Heading2"/>
      </w:pPr>
      <w:r>
        <w:t>Erwägungen</w:t>
      </w:r>
    </w:p>
    <w:p>
      <w:r>
        <w:rPr>
          <w:b/>
        </w:rPr>
        <w:t>E. 3</w:t>
      </w:r>
    </w:p>
    <w:p>
      <w:r>
        <w:t>En définitive, le recours doit être rejeté et l’ordonnance du 20 juin 2016 confirmée.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20 juin 2016 est confirmée. III. Les frais de la procédure de recours, par 770 fr. (sept cent septante francs), sont mis à la charge de C.________. IV. L’arrêt est exécutoire. Le président :               La greffière : Du Le présent arrêt, dont la rédaction a été approuvée à huis clos, est notifié, par l'envoi d'une copie complète, à : - Me Ludovic Tirelli, avocat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