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485 vom 19. Juli 2016</w:t>
      </w:r>
    </w:p>
    <w:p>
      <w:r>
        <w:t>VD Tribunal cantonal, 2016-07-19, FR</w:t>
      </w:r>
    </w:p>
    <w:p>
      <w:r>
        <w:rPr>
          <w:b/>
        </w:rPr>
        <w:t xml:space="preserve">Quelle: </w:t>
      </w:r>
      <w:r>
        <w:t>https://mcp.opencaselaw.ch/entscheid/vd_findinfo_D_cision___2016___485</w:t>
      </w:r>
    </w:p>
    <w:p>
      <w:r>
        <w:t>FR: VD_FINDINFO Décision / 2016 / 485 du 19 juillet 2016</w:t>
      </w:r>
    </w:p>
    <w:p>
      <w:r>
        <w:t>IT: VD_FINDINFO Décision / 2016 / 485 del 19 luglio 2016</w:t>
      </w:r>
    </w:p>
    <w:p>
      <w:pPr>
        <w:pStyle w:val="Heading2"/>
      </w:pPr>
      <w:r>
        <w:t>Regeste</w:t>
      </w:r>
    </w:p>
    <w:p>
      <w:r>
        <w:t>RISQUE DE RÉCIDIVE | 221 al. 1 let. c CPP (CH)</w:t>
      </w:r>
    </w:p>
    <w:p>
      <w:pPr>
        <w:pStyle w:val="Heading2"/>
      </w:pPr>
      <w:r>
        <w:t>Erwägungen</w:t>
      </w:r>
    </w:p>
    <w:p>
      <w:r>
        <w:rPr>
          <w:b/>
        </w:rPr>
        <w:t>E. 1</w:t>
      </w:r>
    </w:p>
    <w:p>
      <w:r>
        <w:t>.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w:t>
      </w:r>
    </w:p>
    <w:p>
      <w:r>
        <w:rPr>
          <w:b/>
        </w:rPr>
        <w:t>E. 2.2</w:t>
      </w:r>
    </w:p>
    <w:p>
      <w:r>
        <w:t>En l’espèce, le recourant conteste d’abord l’existence, à ce stade de la procédure, d’indices suffisamment sérieux de culpabilité à son encontre justifiant sa détention provisoire. Il persiste à contester toute tentative d’enlèvement en relation avec les faits survenus à Vallorbe le 4 février 2016. Ce faisant, il se limite à opposer sa propre version des faits à celle qui est retenue par la direction de la procédure au stade actuel des investigations. Interprétant les faits en sa faveur, il ne tient pas compte des propos des autres personnes impliquées. Il n’appartient pas à la Cour de céans d’examiner ces éléments comme le ferait le juge du fond. Il suffit, en l’état, de relever que le prévenu ne conteste pas avoir eu en mains le porte-bébé dans lequel était installé son fils et d’avoir refusé de le remettre aux grands-parents maternels du nourrisson (cf. PV d’audition d’arrestation, lignes 79-100). Or, il n’avait alors pas le droit de visite à l’égard de son fils, ce droit étant limité à deux rencontres mensuelles d’une heure chacune au Point rencontre. On ne voit de surcroît pas pour quel motif les déclarations des grands-parents du nourrisson devraient a priori être tenues pour moins crédibles que les siennes. Il ressort de la déposition de [...], dont se prévaut par ailleurs le recourant, que la grand-mère, décrite comme « complètement paniquée », a appelé à l’aide en disant « il veut enlever l’enfant » à deux reprises (PV aud. 10, ligne 26-27). De plus, le prévenu ne conteste pas un précédent enlèvement, perpétré le 28 décembre 2013, l’intéressé ayant alors sans droit emmené sa fille en France (cf. CREP 25 février 2016/129 consid. 2.2). Quoi qu’il en soit, l’épisode du 4 février 2016 n’est de loin pas le seul motif retenu à charge. Les principaux éléments déterminants en l’état sont bien plutôt les multiples actes de violence domestique imputés au prévenu au préjudice des mères de ses deux enfants. Or le recourant ne conteste pas ces faits, mais limite ses moyens à l’épisode du 4 février 2016 (recours, ch. II). Il existe clairement des indices justifiant les soupçons de culpabilité à l’égard du recourant.</w:t>
      </w:r>
    </w:p>
    <w:p>
      <w:r>
        <w:rPr>
          <w:b/>
        </w:rPr>
        <w:t>E. 3.1</w:t>
      </w:r>
    </w:p>
    <w:p>
      <w:r>
        <w:t>Le recourant conteste ensuite l’existence d’un risque de récidive (art. 221 al. 1 let. c CPP) que ne pourraient pallier les mesures de substitution auxquelles il conclut. Il se prévaut de l’expertise psychiatrique.</w:t>
      </w:r>
    </w:p>
    <w:p>
      <w:r>
        <w:rPr>
          <w:b/>
        </w:rPr>
        <w:t>E. 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w:t>
      </w:r>
    </w:p>
    <w:p>
      <w:r>
        <w:rPr>
          <w:b/>
        </w:rPr>
        <w:t>E. 3.4</w:t>
      </w:r>
    </w:p>
    <w:p>
      <w:r>
        <w:t>En l’espèce, comme l’a relevé la Cour de céans dans son précédent arrêt, il ressort du dossier que le recourant a commis de nouveaux agissements en cours d’enquête, alors qu’il faisait déjà l’objet d’une instruction pénale en raison d’une multitude d’actes délictueux commis au préjudice des mères de ses deux enfants, sur une période relativement longue. Il a en outre poursuivi ses agissements malgré les mises en garde formelles du procureur. Son absence de respect des décisions de justice ne plaide pas non plus en sa faveur. L’expertise psychiatrique établit que le prévenu présente un risque de réitération d’actes illicites de même nature que ceux qui lui sont reprochés. Ce péril est toutefois susceptible d’être diminué par un suivi ambulatoire selon l’art. 63 CP, afin de juguler les aspects délirants du trouble du prévenu et de modifier sa manière d’être dysfonctionnelle dans le cadre de ses relations intimes et avec ses enfants. Le recourant soutient que le juge des mesures de contrainte serait lié par cette appréciation. Ce faisant, il méconnaît la jurisprudence dont il se prévaut (TF 1B_325/2013 du 11 octobre 2013). En effet, c’est à tort qu’il soutient que le premier juge aurait versé dans l’arbitraire en s’écartant de l’expertise. La jurisprudence se limite à imposer au juge de motiver sa décision de ne pas suivre l’expert (ATF 136 IV 55 consid. 5.6 et 5.7; ATF 133 II 384). Or, s’il y a lieu de retenir qu’un traitement ambulatoire ne saurait pallier le risque de réitération, c’est en raison du grave trouble psychotique mis en évidence par les experts, qui insistent sur le danger de récidive d’actes similaires à ceux qui sont imputés à charge. Le diagnostic posé doit être retenu avant toute autre considération, qui ne peut que lui être subordonnée. En présence d’un tel tableau clinique, qui doit être qualifié de sombre, un traitement ambulatoire n’est pas à même de produire d’effets à court terme. Un risque de réitération majeur subsisterait donc dans l’intervalle. L’anosognosie du prévenu, également mise en exergue par les experts, est à cet égard un obstacle objectif. Les crimes ou les délits en cause, qui sont graves, sont de nature à compromettre sérieusement la sécurité d’autrui. Pour le reste, au vu du nombre de violations de normes et d’injonctions diverses commises par le recourant, notamment l’absence de respect des décisions du juge civil le concernant, on peut fortement douter qu’il soit apte à se plier aux décisions judiciaires limitant ses relations personnelles avec ses enfants et ses ex-compagnes. Une levée de la détention provisoire pourrait peut-être être envisagée, mais le prévenu devrait alors proposer des mesures de substitution allant bien au-delà de celles auxquelles il conclut. Un suivi par le SMPP est insuffisant, puisque la thérapie ambulatoire pratiquée antérieurement n’a pas empêché le prévenu de commettre les actes qui lui sont reprochés, pas plus qu’il n’a respecté les injonctions de justice, notamment les interdictions d’approcher [...]. Les mesures de substitution proposées ne vont en rien au-delà de la situation telle qu’elle existait avant les actes incriminés. Du reste, le recourant ne semble pas prompt à envisager des mesures plus radicales, notamment un suivi régulier et précis (l’intéressé étant sans emploi), assorti d’une interdiction de tout contact avec ses enfants et leurs mères, par exemple. Au vu de l’ensemble des éléments qui précèdent, le risque de récidive est concret et justifie toujours la détention provisoire du recourant. 4. Les conditions de l’art. 221 al. 1 CPP étant alternatives (TF 1B_249/2011 du 7 juin 2011 consid. 2.4), l’existence d’un risque de réitération dispense d’examiner si la détention provisoire s’impose également en raison d’un autre risque éventuel.</w:t>
      </w:r>
    </w:p>
    <w:p>
      <w:r>
        <w:rPr>
          <w:b/>
        </w:rPr>
        <w:t>E. 5</w:t>
      </w:r>
    </w:p>
    <w:p>
      <w:r>
        <w:t>Enfin, l’exigence de proportionnalité (art. 212 al. 3 CPP) est respectée au regard du rapport entre la durée de la détention provisoire subie à ce jour, respectivement à subir jusqu’au 9 septembre 2016, et la quotité de la peine privative de liberté dont le prévenu paraît passible compte tenu de la gravité des infractions qui lui sont reprochées.</w:t>
      </w:r>
    </w:p>
    <w:p>
      <w:r>
        <w:rPr>
          <w:b/>
        </w:rPr>
        <w:t>E. 6</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juillet 2016 est confirmée. III. L’indemnité allouée au défenseur d’office de W.________ est fixée à 583 fr. 20 (cinq cent huitante-trois francs et vingt centimes). IV. Les frais d’arrêt, par 1'100 fr. (mille cents francs), ainsi que l'indemnité allouée au défenseur d'office de W.________, par 583 fr. 20 (cinq cent huitante-trois francs et vingt centimes), sont mis à la charge de ce dernier. V. Le remboursement à l'Etat de l'indemnité allouée au chiffre III ci-dessus sera exigible pour autant que la situation de W.________ se soit améliorée. VI. L’arrêt est exécutoire. Le président :               Le greffier : Du Le présent arrêt, dont la rédaction a été approuvée à huis clos, est notifié, par l'envoi d'une copie complète, à : - Me Martin Brechbühl, avocat (pour W.________), - Ministère public central, et communiqué à : - Mme la Présidente du Tribunal des mesures de contrainte, - M. le Procureur de l’arrondissement de La Côte, - Me Loïc Parein, avocat (pour [...]), - Me Olivier Boschetti,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