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48 vom 20. Januar 2016</w:t>
      </w:r>
    </w:p>
    <w:p>
      <w:r>
        <w:t>VD Tribunal cantonal, 2016-01-20, FR</w:t>
      </w:r>
    </w:p>
    <w:p>
      <w:r>
        <w:rPr>
          <w:b/>
        </w:rPr>
        <w:t xml:space="preserve">Quelle: </w:t>
      </w:r>
      <w:r>
        <w:t>https://mcp.opencaselaw.ch/entscheid/vd_findinfo_D_cision___2016___48</w:t>
      </w:r>
    </w:p>
    <w:p>
      <w:r>
        <w:t>FR: VD_FINDINFO Décision / 2016 / 48 du 20 janvier 2016</w:t>
      </w:r>
    </w:p>
    <w:p>
      <w:r>
        <w:t>IT: VD_FINDINFO Décision / 2016 / 48 del 20 gennaio 2016</w:t>
      </w:r>
    </w:p>
    <w:p>
      <w:pPr>
        <w:pStyle w:val="Heading2"/>
      </w:pPr>
      <w:r>
        <w:t>Regeste</w:t>
      </w:r>
    </w:p>
    <w:p>
      <w:r>
        <w:t>LIBÉRATION CONDITIONNELLE, INTERNEMENT{DROIT PÉNAL}, RENVOI{DROIT DES ÉTRANGERS}, EXPULSION{DROIT DES ÉTRANGERS}, MESURE{DROIT PÉNAL} | 64a CP, 38 LEP</w:t>
      </w:r>
    </w:p>
    <w:p>
      <w:pPr>
        <w:pStyle w:val="Heading2"/>
      </w:pPr>
      <w:r>
        <w:t>Erwägungen</w:t>
      </w:r>
    </w:p>
    <w:p>
      <w:r>
        <w:rPr>
          <w:b/>
        </w:rPr>
        <w:t>E. 1.1</w:t>
      </w:r>
    </w:p>
    <w:p>
      <w:r>
        <w:t>En vertu de l’art. 38 al. 1 de la loi cantonale du 4 juillet 2006 sur l’exécution des condamnations pénales (LEP ; RSV 340.01),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w:t>
      </w:r>
    </w:p>
    <w:p>
      <w:r>
        <w:t>de cet article prévoyait en outre que l’expulsion prévue à l’al. 1 let. c ou d, ne pouvait être prononcée que si le retour de l’expulsé dans son pays d’origine était possible et pouvait raisonnablement être exigé.</w:t>
      </w:r>
    </w:p>
    <w:p>
      <w:r>
        <w:rPr>
          <w:b/>
        </w:rPr>
        <w:t>E. 2.1</w:t>
      </w:r>
    </w:p>
    <w:p>
      <w:r>
        <w:t>Sans remettre en cause les motifs de la décision attaquée quant au refus de la libération conditionnelle, le recourant reproche au Collège des juges d'application des peines de ne pas avoir examiné la possibilité de l’exécution de son renvoi administratif, condition à la poursuite de l’internement qui aurait selon lui été posée par le Tribunal d’accusation dans son arrêt du 11 juin 2003. L’autorité en question avait en effet exposé que H.________ « devrait faire l’objet sur le plan administratif d’un renvoi ou d’une autre décision d’éloignement et d’interdiction d’entrer en Suisse en raison des risques qu’il fait courir à l’ordre public ». Elle avait considéré qu’il se justifiait d’ordonner un internement, « celui-ci pouvant être interrompu si H.________ est expulsé administrativement de Suisse pour le motif qu’il compromet l’ordre public en raison de sa maladie mentale (art. 10 al. 1 let. c et al. 2 LSEE) ».</w:t>
      </w:r>
    </w:p>
    <w:p>
      <w:r>
        <w:rPr>
          <w:b/>
        </w:rPr>
        <w:t>E. 2.2</w:t>
      </w:r>
    </w:p>
    <w:p>
      <w:r>
        <w:t>Selon l’art. 64a CP, l’auteur est libéré conditionnellement de l’internement au sens de l’art. 64 al. 1 CP, dès qu’il est à prévoir qu’il se conduira correctement en liberté. L’auteur peut être libéré conditionnellement à la condition qu’il existe une forte probabilité qu’il se conduira bien en liberté. La libération conditionnelle de l’internement dépend dès lors d’un pronostic favorable (Dupuis et al., Petit commentaire du code pénal, Bâle 2012, n. 2 ad art. 64a CP). L’examen de ce pronostic est effectué de manière plus stricte que lors de l’examen de la même question concernant une mesure thérapeutique institutionnelle (cf. art. 62 CP). La garantie de la sécurité publique doit être assurée avec une probabilité aussi élevée que les enjeux soulevés par la libération conditionnelle, sans qu’une sécurité absolue puisse jamais être tout à fait garantie. Le pronostic doit être posé en tenant compte du comportement de intéressé dans son ensemble et plus particulièrement de sa collaboration face aux traitements prescrits par les médecins, de la prise de conscience des actes à la base de son internement, de ses aptitudes sociales et, notamment de ses capacités à vivre en communauté et à résoudre des conflits potentiels (ATF 136 IV 165 consid. 2.1.1 et 2.1.2). L’art. 10 al. 1 let. c LSEE, en vigueur au moment du prononcé de l’internement en 2003, prévoyait que l’étranger pouvait être expulsé de Suisse ou d’un canton notamment si, par suite de maladie mentale, il compromettait l’ordre public. L’alinéa</w:t>
      </w:r>
    </w:p>
    <w:p>
      <w:r>
        <w:rPr>
          <w:b/>
        </w:rPr>
        <w:t>E. 2.3</w:t>
      </w:r>
    </w:p>
    <w:p>
      <w:r>
        <w:t>En premier lieu, il convient de relever qu’il n’appartient pas au juge d'application des peines ou à la Cour de céans de statuer en matière de renvoi des étrangers, les autorités pénales ne pouvant que prendre acte de l'existence d'une décision administrative définitive et exécutoire sur la question du statut juridique du condamné en Suisse (TF 6B_40/2015 du 5 février 2015 consid. 3.3). En l’espèce, aucune décision administrative concernant la situation du recourant ne figure au dossier et on ignore sur quelle base le Tribunal d’accusation, dans son arrêt du 11 juin 2003, s’était fondé pour affirmer que l’internement pourrait être interrompu si le recourant était expulsé administrativement.</w:t>
      </w:r>
    </w:p>
    <w:p>
      <w:r>
        <w:rPr>
          <w:b/>
        </w:rPr>
        <w:t>E. 2.4</w:t>
      </w:r>
    </w:p>
    <w:p>
      <w:r>
        <w:t>Quoi qu’il en soit, même à admettre que le recourant fasse l’objet d’une décision administrative d’expulsion exécutoire – ce qui n’est pas établi en l’espèce –, cela ne lui permettrait encore pas d’obtenir immédiatement sa libération de l’internement. En effet, les conditions de l’art. 64a CP doivent impérativement être réalisées pour envisager la libération d’un individu soumis à une mesure d’internement et l’on ne saurait s’en affranchir du seul fait qu’un renvoi de l’intéressé dans son pays d’origine est possible sur le plan du droit des étrangers. La possibilité d’un tel renvoi n’est donc qu’un élément parmi d’autres dont il doit être tenu compte au moment d’établir le pronostic quant au comportement futur de l’intéressé. En l’espèce, il ressort du dossier qu’aucune amélioration de l’état de santé du recourant n’a pu être constatée, ce qu’il ne conteste d’ailleurs pas, et que le pronostic est donc encore à ce jour clairement défavorable. En conséquence, H.________ ne remplit pas les conditions de l’art. 64a CP et c’est à juste titre que le Collège des juges d’application des peines a refusé de lui octroyer la libération conditionnelle.</w:t>
      </w:r>
    </w:p>
    <w:p>
      <w:r>
        <w:rPr>
          <w:b/>
        </w:rPr>
        <w:t>E. 2.5</w:t>
      </w:r>
    </w:p>
    <w:p>
      <w:r>
        <w:t>Enfin, et par surabondance, il y a lieu de relever que dans son arrêt du 9 août 2010, le Tribunal d’accusation, mettant fin à une nouvelle enquête dirigée contre H.________ pour tentative de meurtre pour des actes commis au sein des Etablissements de la plaine de l’Orbe, a confirmé la mesure d’internement prononcée à son encontre, sans aucune réserve liée au statut administratif de l’intéressé. Le recours tombe ainsi de toute manière à faux de ce seul fait.</w:t>
      </w:r>
    </w:p>
    <w:p>
      <w:r>
        <w:rPr>
          <w:b/>
        </w:rPr>
        <w:t>E. 3</w:t>
      </w:r>
    </w:p>
    <w:p>
      <w:r>
        <w:t>En définitive, le recours, manifestement mal fondé, doit être rejeté sans autres échanges d’écritures (art. 390 al. 2 CPP) et la décision du 7 janvier 2016 confirmée. Les frais de la procédure de recours, constitués en l’espèce de l’émolument d'arrêt, par 770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7 janvier 2016 est confirmée. III. L’indemnité allouée au défenseur d’office du recourant est fixée à 388 fr. 80 (trois cent huitante-huit francs et huitante centimes). IV. Les frais d’arrêt, par 770 fr. (sept cent septante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Le présent arrêt, dont la rédaction a été approuvée à huis clos, est notifié, par l'envoi d'une copie complète, à : - Me Jean Lob, avocat (pour H.________), - Ministère public central, et communiqué à : - M. le Président du Collège des juges d’application des pe ines, - M. le Procureur du Ministère public central, division affaires spéciales, contrôle et mineurs, - Office d’exécution des peines (réf. [...]), - Direction de l’établissement Curabilis, - Service de la population, secteur asile,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