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441 vom 31. Mai 2016</w:t>
      </w:r>
    </w:p>
    <w:p>
      <w:r>
        <w:t>VD Tribunal cantonal, 2016-05-31, FR</w:t>
      </w:r>
    </w:p>
    <w:p>
      <w:r>
        <w:rPr>
          <w:b/>
        </w:rPr>
        <w:t xml:space="preserve">Quelle: </w:t>
      </w:r>
      <w:r>
        <w:t>https://mcp.opencaselaw.ch/entscheid/vd_findinfo_D_cision___2016___441</w:t>
      </w:r>
    </w:p>
    <w:p>
      <w:r>
        <w:t>FR: VD_FINDINFO Décision / 2016 / 441 du 31 mai 2016</w:t>
      </w:r>
    </w:p>
    <w:p>
      <w:r>
        <w:t>IT: VD_FINDINFO Décision / 2016 / 441 del 31 maggio 2016</w:t>
      </w:r>
    </w:p>
    <w:p>
      <w:pPr>
        <w:pStyle w:val="Heading2"/>
      </w:pPr>
      <w:r>
        <w:t>Regeste</w:t>
      </w:r>
    </w:p>
    <w:p>
      <w:r>
        <w:t>CLASSEMENT DE LA PROCÉDURE, CONDITION DE RECEVABILITÉ, ADMINISTRATION DES PREUVES, RÉCUSATION | 108 CPP (CH), 319 CPP (CH), 382 al. 1 CPP (CH), 385 CPP (CH), 393 CPP (CH), 56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(art. 382 al. 1 CPP) dans la mesure où elle est lésée, le recours est en principe recevable dans cette mesure (cf. toutefois consid. 1.2 et 1.3 infra).</w:t>
      </w:r>
    </w:p>
    <w:p>
      <w:r>
        <w:rPr>
          <w:b/>
        </w:rPr>
        <w:t>E. 1.2.1</w:t>
      </w:r>
    </w:p>
    <w:p>
      <w:r>
        <w:t>Selon l’art. 393 al. 2 CPP, le recours peut être formé pour violation du droit, y compris l’excès et l’abus du pouvoir d’appréciation, le déni de justice et le retard injustifié (let. a), pour constatation incomplète ou erronée des faits (let. b) – la constatation des faits étant incomplète lorsque des faits pertinents, dûment établis par les actes du dossier, n’ont pas été pris en considération, et erronée lorsque des faits constatés sont contredits formellement par les actes du dossier (Pitteloud, Code de procédure pénale suisse [CPP], Commentaire à l’usage des praticiens, Zurich/St-Gall 2012, n. 1153) –, ainsi que pour inopportunité (let. c). Le recours s’exerce par le dépôt d’un mémoire de recours écrit et dûment motivé (art. 390 al. 1 et 396 al. 1 CPP). Les exigences de motivation du recours sont posées à l’art. 385 al. 1 CPP (Rémy, in : Kuhn/Jeanneret [éd.], Commentaire romand, Code de procédure pénale suisse, Bâle 2011, n. 3 ad art. 396 CPP ; Moreillon/Parein-Reymond, Petit commentaire du Code de procédure pénale, Bâle 2013, n. 2 ad art. 396 CPP ; Keller, in : Donatsch/Hansjakob/Lieber [éd.], Kommentar zur Schweizerischen Strafprozessordnung,</w:t>
      </w:r>
    </w:p>
    <w:p>
      <w:r>
        <w:rPr>
          <w:b/>
        </w:rPr>
        <w:t>E. 1.2.2</w:t>
      </w:r>
    </w:p>
    <w:p>
      <w:r>
        <w:t>Selon la jurisprudence relative à la motivation des appels en matière civile – l’exigence de motivation découlant de l’art. 311 al. 1 CPC –, les appels doivent être motivés. L'appelant doit expliquer en quoi son argumentation peut influer sur la solution retenue par les premiers juges (TF 4A_659/2011 du 7 décembre 2011 consid. 3 et 4, RSPC 2012 p. 128 = SJ 2012 I 231 ; TF 5A_438/2012 du 27 août 2012 consid. 2.2,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TF 5A_396/2013 du 26 février 2014 consid. 5.3.1).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5A_438/2012 du 27 août 2012 consid. 2.2 ; TF 4A_290/2014 du 1 er septembre 2014 consid. 3.1, RSPC 2015 p. 52 ; TF 5A_488/2015 du 21 août 2015 consid. 3.2.1, RSPC 2015 p. 512). Ces principes valent également pour la motivation d’un recours contre une ordonnance de classement. En effet, même si l’autorité de recours applique le droit d'office, l’affaire se présente différemment en deuxième instance, vu la décision de classement déjà rendue. Le recourant ne peut donc se borner à simplement reprendre des allégations de fait ou des arguments de droit présentés devant l’autorité de poursuite pénale, mais il doit s'efforcer d'établir que, sur les faits constatés ou sur les conclusions juridiques qui en ont été tirées, l’ordonnance attaquée est entachée d'erreurs. Il ne peut le faire qu'en reprenant la démarche du procureur et en mettant le doigt sur les failles de son raisonnement. Si la motivation du recours est identique aux moyens qui avaient déjà été présentés devant le procureur –  notamment dans le délai de prochaine clôture (cf. art. 318 CPP) – avant la reddition de l’ordonnance attaquée, ou si elle ne contient que des critiques toutes générales de l’ordonnance attaquée ou encore si elle ne fait que renvoyer aux moyens soulevés devant le procureur, elle ne satisfait pas aux exigences de l’art. 385 al. 1 CPP et l’autorité de recours n’a pas à entrer en matière.</w:t>
      </w:r>
    </w:p>
    <w:p>
      <w:r>
        <w:rPr>
          <w:b/>
        </w:rPr>
        <w:t>E. 1.2.3</w:t>
      </w:r>
    </w:p>
    <w:p>
      <w:r>
        <w:t>Dans ses griefs présentés aux pages</w:t>
      </w:r>
    </w:p>
    <w:p>
      <w:r>
        <w:rPr>
          <w:b/>
        </w:rPr>
        <w:t>E. 1.2.4</w:t>
      </w:r>
    </w:p>
    <w:p>
      <w:r>
        <w:t>Dans ses griefs présentés sous pages 19 à 107 du recours, la recourante soutient que les observations et les requêtes figurant dans son mémoire du 14 septembre 2015 auraient été décrites de manière fausse ou inexacte dans l’ordonnance attaquée. Pour ce faire, elle a d’abord exposé textuellement ce qui était retenu dans l’ordonnance entreprise – et qui est mentionné dans le présent arrêt, dans la partie en fait, lettre B, chiffres 2.1.1 à 2.1.5 –, pour ensuite exposer en détail les moyens et réquisitions de preuve présentés dans son mémoire du 14 septembre 2015, au moyen de photocopies de cet acte. En l’occurrence, le recours se révèle irrecevable dans la mesure où il reprend textuellement (par photocopies), sur des dizaines de pages (cf. recours, pp. 21-31, 33-50, 52-71, 73-87, 89-106) , les arguments que la partie plaignante avait déjà présentés dans son mémoire de prochaine clôture du 14 septembre 2015, qui comportait 86 pages. La cour de céans n’a pas à entrer en matière sur de tels moyens, qui ne sont pas dirigés contre l’ordonnance de classement et contre le raisonnement qui y est développé par le procureur. Ces griefs doivent donc être écartés. Par ailleurs, le procureur était parfaitement en droit de résumer, dans son ordonnance de classement, qui comporte déjà 23 pages, les observations et requêtes de preuve de la plaignante, ce qu’il a d’ailleurs fait de manière qui échappe à la critique. Au demeurant, la manière dont le procureur a résumé les observations et requêtes de preuve de la plaignante n’empêche pas l’autorité de recours de contrôler avec un plein pouvoir d’examen, sur la base de griefs dûment soulevés contre l’ordonnance de classement, si certaines réquisitions de preuve ont été écartées à tort.</w:t>
      </w:r>
    </w:p>
    <w:p>
      <w:r>
        <w:rPr>
          <w:b/>
        </w:rPr>
        <w:t>E. 1.3.1</w:t>
      </w:r>
    </w:p>
    <w:p>
      <w:r>
        <w:t>Aux termes de l'art. 382 al. 1 CPP, toute partie qui a un intérêt juridiquement protégé à l’annulation ou à la modification d’une décision a qualité pour recourir contre celle-ci. Cet intérêt se distingue de l’intérêt digne de protection, qui n’est pas nécessairement un intérêt juridique, mais peut être un intérêt de fait. Un simple intérêt de fait ne suffit pas à conférer la qualité pour recourir (ATF 133 IV 121 consid. 1.2; Calame, in : Kuhn/Jeanneret [éd.], Commentaire romand, Code de procédure pénale suisse, Bâle 2011, n. 1 et 2 ad art. 382 CPP; Lieber, in : Donatsch/Hansjakob/Lieber [éd.], Kommentar zum Schweizerischen Strafprozessordnung, Zurich 2014, n. 7 ad art. 382 CPP et la référence citée). Le recourant n’est au bénéfice d’un intérêt juridiquement protégé que s’il est directement atteint, c’est-à-dire lésé dans ses droits par la décision attaquée. Il ne suffit pas qu’il soit atteint dans ses droits par effet réflexe (Calame, op. cit., n. 2 ad art. 382 CPP ; Lieber, op. et loc. cit.; Schmid, Schweizerische Strafprozessordnung, Praxiskommentar, 2 e éd., Zurich/St-Gall 2013, n. 2 ad art. 382 CPP). Le recourant doit ainsi établir que la décision attaquée viole une règle de droit qui a pour but de protéger ses intérêts et qu’il peut par conséquent en déduire un droit subjectif. L’intérêt doit donc être personnel. La violation d’un intérêt relevant d’un autre sujet de droit est insuffisante pour créer la qualité pour agir. Ainsi, un prévenu ne peut se plaindre de la manière dont un coprévenu a été traité (Calame, op. et loc. cit.; ATF 131 IV 191 consid. 1.2), car il n’a pas forcément un intérêt juridiquement protégé à obtenir la condamnation ou même la participation au procès d’un coprévenu lorsque celui-ci a été libéré, la notion de compensation de fautes n’existant pas en droit pénal (cf. CREP 28 octobre 2015/692 ; CREP 19 août 2015/553, JdT 2015 III 256 ; CREP 4 décembre 2013/717 ; Schmid, Handbuch des schweizerischen Strafprozessrechts, 2 e éd., Zurich 2013, n. 1461).</w:t>
      </w:r>
    </w:p>
    <w:p>
      <w:r>
        <w:rPr>
          <w:b/>
        </w:rPr>
        <w:t>E. 1.3.2</w:t>
      </w:r>
    </w:p>
    <w:p>
      <w:r>
        <w:t>En l’occurrence, le recours est également irrecevable en tant qu’il est dirigé contre l’allocation au prévenu d’une indemnité au sens de l’art. 429 al. 1 let. a CPP, à la charge de l’Etat, dès lors que la recourante n’est nullement touchée par la décision prise sur ce point et n’a pas d’intérêt juridiquement protégé à la modification ou à l’annulation de cette décision. 2.</w:t>
      </w:r>
    </w:p>
    <w:p>
      <w:r>
        <w:rPr>
          <w:b/>
        </w:rPr>
        <w:t>E. 2</w:t>
      </w:r>
    </w:p>
    <w:p>
      <w:r>
        <w:t>e éd., Zurich/Bâle/Genève 2014, n. 14 ad art. 396 CPP ; Guidon, in : Niggli/Heer/Wiprächtiger [éd.], Basler Kommentar, Schweizerische Strafprozessordnung, Jugendstrafprozessordnung, 2 e éd., Bâle 2014, n. 9b ad art. 396 CPP). Aux termes de cette disposition, la personne ou l’autorité qui recourt doit indiquer précisément les points de la décision qu’elle attaque (let. a), les motifs qui commandent une autre décision (let. b) et les moyens de preuve qu’elle invoque (let. c). Ainsi, le recourant doit d’abord indiquer "les points de la décision" qui sont attaqués (art. 385 al. 1 let. a CPP), par quoi il faut entendre les points du dispositif (cf. art. 81 al. 4 CPP) qui devraient être changés et quelle formulation devrait avoir la nouvelle décision si le recours était admis (Pitteloud, op. cit., n. 1126 ; Ziegler/Keller, in : Niggli/Heer/Wiprächtiger [éd.], op. cit., n. 1a ad art. 385 CPP). Le recourant doit ensuite énoncer "les motifs qui commandent une autre décision" (art. 385 al. 1 let. b CPP), à savoir les arguments, de fait ou de droit, sur lesquels il prétend se fonder pour faire modifier la décision en sa faveur (Pitteloud, op. cit., n. 1126 ; Lieber, in : Donatsch/Hansjakob/Lieber [éd.], op. cit., n. 2 ad art. 385 CPP). Ainsi, il doit indiquer dans quelle mesure et sous quel angle il entend critiquer l’établissement des faits ou l’application du droit (Calame, in : Kuhn/Jeanneret [éd.], op. cit., n. 20 ad art. 385 CPP). Il n’est pas entré en matière sur les arguments qui résultent seulement d’un renvoi à des pièces du dossier ou à des écritures antérieures (Rémy, op. cit., n. 4 ad art. 396 CPP et les réf. cit.).</w:t>
      </w:r>
    </w:p>
    <w:p>
      <w:r>
        <w:rPr>
          <w:b/>
        </w:rPr>
        <w:t>E. 2.1</w:t>
      </w:r>
    </w:p>
    <w:p>
      <w:r>
        <w:t>L'art. 56 let. a à f CPP énonce divers motifs de récusation qualifiés à l'égard de toute personne exerçant une fonction au sein d’une autorité pénale. L'art. 56 let. f CPP a la portée d'une clause générale recouvrant tous les motifs de récusation non expressément prévus aux lettres précédentes (TF 1B_202/2013 du 23 juillet 2013 consid. 2.1.2 ; TF 6B_629/2011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Même si elles sont établies, des erreurs de procédure ou d'appréciation commises par un magistrat ne suffisent pas à fonder objectivement un soupçon de prévention; seules des erreurs particulièrement lourdes ou répétées, constituant des violations graves de ses devoirs, peuvent justifier le soupçon de parti pris (ATF 116 Ia 135 consid. 3a; ATF 114 Ia 153 consid. 3b/bb; ATF 111 Ia 259 consid. 3b/aa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Selon la jurisprudence, il ne saurait y avoir matière à récusation dans les cas, fréquents, où un procureur est chargé d'instruire différentes plaintes pénales réciproques. Une administration rationnelle de la justice commande au contraire, dans de tels cas, que l'ensemble des faits soient élucidés par le même magistrat (TF 1B_105/2013 du 21 mai 2013 consid. 2.1 ; TF 1B_415/2011 du 25 octobre 2011 consid. 2.2 ; CREP 20 novembre 2014/835).</w:t>
      </w:r>
    </w:p>
    <w:p>
      <w:r>
        <w:rPr>
          <w:b/>
        </w:rPr>
        <w:t>E. 2.2</w:t>
      </w:r>
    </w:p>
    <w:p>
      <w:r>
        <w:t>En l’espèce, la requérante soutient que l’ordonnance attaquée reposerait sur une violation de son droit d’être entendue et ferait ressortir les préventions du magistrat instructeur. Or, comme on l’a vu ci-dessus (cf. consid. II/2), l’ordonnance de classement attaquée ne prête pas le flanc à la critique. Il semble dès lors que la demande de récusation soit avant tout motivée par le fait que le procureur a rendu une décision défavorable à la requérante. Ce motif n’emporte cependant pas prévention. Ainsi, en l'absence de circonstances objectives qui feraient redouter une activité partiale du procureur, aucun motif de récusation au sens de l'art. 56 CPP n'est réalisé en l'espèce. 3. Par conséquent, la demande de récusation présentée par I.________ doit être rejetée. IV. Conclusion Il résulte de ce qui précède que le recours doit être rejeté dans la mesure où il est recevable, sans autre échange d’écriture (art. 390 al. 2 CPP), et l’ordonnance attaquée confirmée. La requête de récusation doit également être rejetée. Les frais de la procédure de recours, constitués du seul émolument d’arrêt, par 3'740 fr. (art. 20 al. 1 TFIP [tarif des frais de procédure et indemnités en matière pénale du 28 septembre 2010 ; RSV 312.03.1]), seront mis à la charge de la recourante, qui succombe (art. 59 al. 4 et 428 al. 1 CPP). Par ces motifs, la Chambre des recours pénale prononce : I. Le recours est rejeté dans la mesure où il est recevable. II. L’ordonnance du 4 avril 2016 est confirmée. III. La demande de récusation est rejetée. IV. Les frais d’arrêt, par 3'740 fr. (trois mille sept cent quarante francs), sont mis à la charge d’I.________. V. L’arrêt est exécutoire. Le président :               La greffière : Du Le présent arrêt, dont la rédaction a été approuvée à huis clos, est notifié, par l'envoi d'une copie complète, à : - Me Christian Fischer, avocat (pour I.________), - Me Jean-Christophe Diserens, avocat (pour H.________), - Me Gilles Favre, avocat (pour R.________SA), - C.________SA, - P.________SA, - M. le Procureur général adjoint, et communiqué à : - Tribunal cantonal, Cour civile, - Fürstliches Landgericht (réf. : 12UR.2015.61),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2.3</w:t>
      </w:r>
    </w:p>
    <w:p>
      <w:r>
        <w:t>Dans ses griefs présentés aux pages 107 à 111 du recours, la recourante conteste la conclusion du procureur selon laquelle rien ne permet d’affirmer que le transfert de la propriété d’œuvres d’art selon le contrat de vente daté du 27 mai 1985 et conclu entre D.V.________ et R.________SA ne soit pas intervenu. Elle fait valoir que le fait que le papier sur lequel a été fabriqué ce contrat de vente n’existait pas à la date indiquée constituerait un indice que la supposée annexe A servait à tout autre chose qu’à une vente. En outre, les œuvres d’art répertoriées dans l’Annexe A n’auraient pas été livrées à R.________SA, mais seraient restées à Lausanne, Genève ou Gstaad, sous réserve de prêts en vue d’expositions, l’éloignement de ces œuvres de lieux connus en Suisse romande ou à Gstaad n’ayant été réalisé qu’en 2004. En l’espèce, les éléments mis en avant par la recourante ne sont pas propres à remettre en cause la conclusion du procureur, respectivement ne permettent pas d’affirmer que le transfert de la propriété d’œuvres d’art n’est pas intervenu. Sur ce point, le procureur a pris en compte tous les éléments pertinents qu’il a longuement discutés. En particulier, il a retenu l’authenticité des signatures et paraphes de D.V.________, l’authenticité de la signature du témoin S.V.________, le fait notoire de l’attachement du nom du collectionneur initial à sa collection, l’acceptation par A.V.________ de la succession de son époux dont les inventaires ne comprenaient aucun bien culturel propriété de la société R.________SA et des diverses fondations, la confusion liée aux divers fonctions de H.________, ainsi qu’au fait que des œuvres aient continué à être rattachées à la collection [...] malgré les cessions subséquentes, par le biais de prêts accordés par R.________SA. L’ensemble de ces éléments permet de penser que le transfert de propriété a bel et bien eu lieu ou à tout le moins ne permet pas d’affirmer que ce transfert n’a pas eu lieu, ce nonobstant le fait qu’il n’y aurait pas eu de livraison de ces œuvres au Panama, aux Bahamas ou aux USA et que le papier utilisé pour dactylographier le contrat de vente du 27 mai 1985 n’existait pas l’année en question.</w:t>
      </w:r>
    </w:p>
    <w:p>
      <w:r>
        <w:rPr>
          <w:b/>
        </w:rPr>
        <w:t>E. 2.4</w:t>
      </w:r>
    </w:p>
    <w:p>
      <w:r>
        <w:t>Dans ses griefs présentés aux pages 111 à 112 du recours, la recourante fait valoir que la déclaration de reçu de G.________ et celle de la notaire [...] seraient fausses et qu’il n’y aurait pas eu de contrat le 27 mai 1985. Elle soutient en outre que l’état de santé de D.V.________ depuis 1987 au plus tard et ses tendres relations avec son épouse interdiraient de penser qu’il aurait pu ou voulu transférer à une société panaméenne ou à sa belle-sœur les joyaux de la collection de tableaux des époux [...]. En l’occurrence, ces griefs sont inconsistants. Il ne s’agit que d’affirmations de la recourante, laquelle échoue à démontrer l’inexactitude des constatations du procureur.</w:t>
      </w:r>
    </w:p>
    <w:p>
      <w:r>
        <w:rPr>
          <w:b/>
        </w:rPr>
        <w:t>E. 2.5</w:t>
      </w:r>
    </w:p>
    <w:p>
      <w:r>
        <w:t>Dans ses griefs présentés aux pages 113 à 114 du recours, la recourante soutient que le procureur ne pouvait se fonder sur la pièce 121/2 pour retenir un éventuel transfert physique des tableaux à la Fondation J.________ en 1992. En l’espèce, la pièce litigieuse est une lettre du conseil commun de S.V.________ et de R.________SA au défenseur du prévenu. Elle rapporte les propos de S.V.________, selon lesquels la transaction prévue par contrat de vente du 27 mai 1985 a eu lieu, la propriété des tableaux a changé de mains il y a presque une génération et les choses ont depuis lors encore évolué. La mise en cause de la pièce 121/2 par la recourante tombe à faux, puisque même si cette pièce devait ne pas prouver le transfert physique des tableaux, cela ne voudrait pas dire pour autant que ce transfert n’a pas eu lieu.</w:t>
      </w:r>
    </w:p>
    <w:p>
      <w:r>
        <w:rPr>
          <w:b/>
        </w:rPr>
        <w:t>E. 2.6</w:t>
      </w:r>
    </w:p>
    <w:p>
      <w:r>
        <w:t>Dans ses griefs présentés aux pages 114 à 116 du recours, la recourante soutient qu’il serait absurde de rejeter l’argument tiré de l’absence de transfert en déclarant que la Galerie [...] AG n’a pas été en mesure de produire la facture relative à la vente en 1990 du tableau de Claude Monet, tout comme il serait absurde de penser que les faits tels que retenus par le procureur correspondent aux réelles intentions de D.V.________ et d’A.V.________. En l’espèce, la recourante ne parvient pas remettre en cause le fait qu’aucun justificatif ne permet d’affirmer que ce tableau de Claude Monet ait été vendu à U.________ directement par les époux et le fait qu’il est tout à fait possible que ces derniers aient participé à cette vente comme intermédiaires. Pour le surplus, la recourante tente de faire valoir sa propre version des faits qui ne repose sur aucun élément au dossier.</w:t>
      </w:r>
    </w:p>
    <w:p>
      <w:r>
        <w:rPr>
          <w:b/>
        </w:rPr>
        <w:t>E. 2.7</w:t>
      </w:r>
    </w:p>
    <w:p>
      <w:r>
        <w:t>Dans ses griefs présentés aux pages 116 à 118 du recours, la recourante revient sur les constitutions et les buts des diverses fondations afin de remettre en cause certaines constatations du procureur. Elle donne ensuite une version légèrement différente de certaines constatations retenues par le procureur dans l’ordonnance attaquée. Elle conteste également la conclusion du procureur selon laquelle A.V.________ aurait voulu exclure les œuvres d’art provenant de la collection [...] de son patrimoine successoral. Elle estime enfin qu’il n’y aurait rien de primordial à relever que lors du décès de son mari, A.V.________ avait accepté cette succession dont les inventaires ne comprenaient aucun bien culturel propriété de la société R.________SA ou des diverses fondations. En l’espèce, comme déjà mentionné ci-dessus (cf. consid. 1.2.3 supra), les griefs qui consistent à retenir une version légèrement différente de celle du procureur, sur des points qui ne sont pas capitaux, sont appellatoires et doivent être écartés. La recourante rediscute en effet moult petits détails factuels dans le but de démontrer que sa version serait la seule crédible. Tous ces détails factuels ne sont cependant pas pertinents. Quant à la conclusion du procureur selon laquelle A.V.________ aurait voulu exclure les œuvres d’art provenant de la collection [...] de son patrimoine successoral, conclusion fondée notamment sur des pièces au dossier, soit des lettres manuscrites (P. 174/1.2 et 174/1.3), ainsi que sur la constitution par les époux des fondations et sur le but de celles-ci, la recourante échoue à démontrer en quoi sa propre version serait préférable à celle retenue par le procureur. Enfin, contrairement à ce que soutient la recourante, le fait que, lors du décès de son mari en 1994, A.V.________ avait accepté cette succession, dont les inventaires ne comprenaient aucun bien culturel propriété de la société R.________SA ou des fondations A.________, J.________ et O.________, est bel et bien pertinent, puisque cela signifierait que même A.V.________ aurait été complice du complot dénoncé par la recourante, qui argue de faux la plupart des documents produits ou toutes les déclarations recueillies, pour soutenir sa thèse selon laquelle tous auraient conspiré pour frustrer A.V.________, respectivement la succession de cette dernière, d’œuvres d’art et de fonds qui auraient dû être intégrés dans son patrimoine.</w:t>
      </w:r>
    </w:p>
    <w:p>
      <w:r>
        <w:rPr>
          <w:b/>
        </w:rPr>
        <w:t>E. 2.8</w:t>
      </w:r>
    </w:p>
    <w:p>
      <w:r>
        <w:t>Dans ses griefs présentés aux pages 119 à 121 du recours, la recourante conteste le fait que des fondations constituées par le couple [...] auraient constitué des collections d’œuvres d’art et auraient prêté, à divers musées, des œuvres qui auraient appartenu aux fondations. De même, les deux contrats de prêt (P. 12/3 et 12/4) rédigés avec la même date et pour la même œuvre par H.________, mentionnant l’un R.________SA et l’autre la Fondation J.________ comme prêteur, ne signifieraient pas que le tableau aurait appartenu à R.________SA ou à la Fondation J.________. La recourante soutient en outre que rien ne permettrait d’affirmer que le contrat muni de la date du 27 mai 1985, fabriqué sur du papier qui n’existait pas avant 1988, n’aurait pu être fabriqué qu’en 1988, sa fabrication pouvant être proche de celle de sa production. Par ailleurs, rien ne permettrait de retenir que ce contrat n’était pas destiné à frustrer la veuve de D.V.________ d’une collection de tableaux à la propriété de laquelle elle pouvait prétendre. Là encore, les griefs de la recourante sont inconsistants et doivent être écartés. La recourante tente en effet de faire valoir sa propre version des faits et échoue à mettre en cause l’appréciation des preuves effectuée par le procureur.</w:t>
      </w:r>
    </w:p>
    <w:p>
      <w:r>
        <w:rPr>
          <w:b/>
        </w:rPr>
        <w:t>E. 2.9</w:t>
      </w:r>
    </w:p>
    <w:p>
      <w:r>
        <w:t>Dans ses griefs présentés aux pages 121 à 124 du recours, la recourante met en cause la bonne foi de X.________, de S.V.________ et de H.________, se référant aux auditions, aux documents ou aux autres formes de déclarations figurant au dossier, afin de contester la conclusion du procureur selon laquelle la documentation incriminée a été produite de bonne foi, sans intention criminelle. En l’occurrence, l’analyse que fait la recourante des auditions, documents ou aux autres formes de déclarations figurant au dossier, qui soulève l’hypothèse d’un véritable complot des divers intervenants, ne repose que sur les seules impressions de la recourante. Ces griefs ne sont pas de nature à remettre en cause l’analyse du procureur sur le fait qu’il ne peut être retenu que la production des pièces incriminées – dont la fausseté n’est au demeurant pas établie – dans des procédures civile et pénale ne procède pas d’une intention criminelle de qui que ce soit.</w:t>
      </w:r>
    </w:p>
    <w:p>
      <w:r>
        <w:rPr>
          <w:b/>
        </w:rPr>
        <w:t>E. 2.10</w:t>
      </w:r>
    </w:p>
    <w:p>
      <w:r>
        <w:t>Dans ses griefs présentés aux pages 124 à 127 du recours, la recourante fait état des reproches formulés à l’encontre de H.________ en sa qualité d’exécuteur testamentaire, relevant en outre que le prénommé chercherait à tromper le juge par des manœuvres astucieuses constituées notamment par la production de pièces fausses ou hautement suspectes. Elle soutient qu’au vu des éléments recueillis en cours d’enquête, il serait hautement vraisemblable que les explications de H.________ soient fausses, dès lors notamment que les enquêteurs n’auraient pas trouvé les œuvres d’art de la collection [...], celles-ci ayant disparu et le prévenu ne pouvant pas être étranger à cette disparition. En l’occurrence, la recourante échoue à mettre en faute l’analyse du procureur qui aboutit à la conclusion qu’aucune infraction ne peut être reprochée à H.________ en lien avec l’accomplissement de son mandat d’exécuteur testamentaire. Force est de constater que la thèse de la recourante n’est pas étayée par les éléments du dossier et que c’est à juste titre que le procureur, en raison de l’inanité des griefs articulés par la plaignante, qui se contente de faire valoir ses propres hypothèses, n’a pas étendu l’enquête à d’autres prévenus ou à d’autres faits et a rejeté les réquisitions de preuve présentées par la plaignante.</w:t>
      </w:r>
    </w:p>
    <w:p>
      <w:r>
        <w:rPr>
          <w:b/>
        </w:rPr>
        <w:t>E. 2.11</w:t>
      </w:r>
    </w:p>
    <w:p>
      <w:r>
        <w:t>Dans ses griefs présentés aux pages 128 à 131 du recours, la recourante invoque une violation des 139, 318 al. 2 et 319 al. 1 CPP, du principe in dubio pro duriore et des garanties des art. 29 al. 2 Cst. (Constitution fédérale du 18 avril 1999, RS 101) et 6 CEDH. Elle reproche au Ministère public de ne pas avoir procédé à toutes les mesures d’instruction pertinentes susceptibles d’établir l’existence de soupçons justifiant une mise en accusation, estimant que l’ordonnance de classement reposerait sur des constatations de faits fausses, contredites par des éléments de preuve qui figurent au dossier. En l’espèce, comme on l’a vu ci-dessus, les constatations de fait opérées par le Ministère public échappent à la critique, tout comme son rejet dûment motivé des réquisitions de preuve présentées par la recourante. Dans la mesure où l’état de fait sur lequel la recourante fonde son argumentation n’est pas celui retenu dans la présente cause au regard des considérants qui précèdent, son raisonnement tombe à faux.</w:t>
      </w:r>
    </w:p>
    <w:p>
      <w:r>
        <w:rPr>
          <w:b/>
        </w:rPr>
        <w:t>E. 2.12</w:t>
      </w:r>
    </w:p>
    <w:p>
      <w:r>
        <w:t>Au vu des considérations qui précèdent, les arguments du procureur sont pertinents et son appréciation, à laquelle la Cour de céans se réfère intégralement, ne prête pas le flanc à la critique. On doit en effet admettre avec le Ministère public qu’aucun élément au dossier ne permet d’accréditer la version des faits de la recourante, qui est au contraire infirmée par les éléments au dossier. Par conséquent, les soupçons à l’égard de H.________ ne sont pas suffisants pour engager l’accusation contre lui devant le tribunal. Dans ces circonstances, c’est à bon droit que le procureur a mis le prénommé au bénéfice d’un classement. Par ailleurs, comme l’a relevé le Ministère public, si la procédure civile devait apporter un éclairage nouveau à cette affaire, la procédure pénale dirigée contre H.________ pourrait être reprise conformément à l’art. 323 CPP. 3. 3.1 La recourante invoque une violation de l’art. 107 CPP et de son droit d’être entendue. Elle critique le refus d’accès aux pièces que l’avocat Jean-Christophe Diserens a produites le 31 août 2010 en vue de l’expertise en écriture et leur restitution à cet avocat. 3.2 Tel qu'il est garanti à l'art. 29 al. 2 Cst., le droit d'être entendu comprend notamment le droit pour l'intéressé de consulter le dossier. Ce droit découle également des art. 101 al. 1 et 107 al. 1 let. a CPP. Il peut être restreint en application de l'art. 102 al. 1 CPP, qui impose à la direction de la procédure de prendre les mesures nécessaires pour protéger les intérêts au maintien du secret. L'art. 108 al. 1 let. b CPP permet également de restreindre le droit d'être entendu lorsque cela est nécessaire pour assurer la sécurité de personnes ou pour protéger des intérêts publics ou privés au maintien du secret. Le conseil juridique d'une partie ne peut faire l'objet de restrictions que du fait de son comportement (art. 108 al. 2 CPP). Par ailleurs, les restrictions doivent être limitées temporairement ou à des actes de procédure déterminés (art. 108 al. 3 CPP). De plus, les autorités ne peuvent fonder leurs décisions sur des pièces auxquelles une partie n'a pas eu accès que si celle-ci a été informée de leur contenu essentiel (art. 108 al. 4 CPP) (TF 1B_439/2012 du 8 novembre 2012 consid. 2.1 et les arrêts cités). 3.3 En l’espèce, dans son arrêt du 16 août 2013/541, la Cour de céans a considéré que la décision du procureur fondée sur l’art. 108 al. 1 let. b CPP et consistant à refuser à la recourante l’accès aux pièces produites par Me Jean-Christophe Diserens le 31 août 2010 ne prêtait pas le flanc à la critique (cf. consid. II/3d). Sur ce point, on peut se référer à l’arrêt précité. En effet, on ne peut qu’admettre avec le procureur que la recourante ne justifie d’aucun intérêt prépondérant à la consultation des documents en question, qui sont couverts par la protection de la sphère privée. Ces documents ont en effet été produits dans le seul but de fournir des spécimens de signature destinés à servir de matériel de comparaison dans le cadre de l’expertise et pour le surplus n’ont aucun rapport dans leur contenu avec la procédure pénale. Par ailleurs, il convient de relever que les éléments déterminants des documents de comparaison sont les signatures comme telles, les dates de ces écrits permettant de les situer dans le temps, ainsi que les en-têtes permettant d’établir le contexte d’établissement des écrits en question et de s’assurer qu’ils émanent bien du scripteur visé. Or, dans son rapport (P. 112/2, pp. 4 et 5), l’expert n’a pas seulement dressé la liste détaillée des documents litigieux en donnant de chacun d’eux une description sommaire incluant la date lorsqu’elle existait, mais il a également indiqué le titre de l’écrit, les identités des parties, ainsi que la nature de l’accord s’il s’agissait d’un contrat. De plus, dans les annexes au rapport (P. 112/3, pp. 11 et 13), il a reproduit les paraphes et les signatures de référence que ces documents comportaient. La recourante ne saurait donc se prévaloir du fait qu’elle n’a pas été informée du contenu essentiel des documents en question. Au vu de ce qui précède, la décision du procureur fondée sur l’art. 108 al. 1 let. b CPP et consistant à refuser à la recourante l’accès aux pièces produites par Me Jean-Christophe Diserens le 31 août 2010 ne prête pas le flanc à la critique. Il en va de même de la décision du procureur de restituer à Me Jean-Christophe Diserens la documentation produite le 31 août 2010. L’ordonnance de classement devant être confirmée (cf. consid. 2 supra), il n’y a par conséquent aucun motif de maintenir ces documents au dossier. 4. Au vu de l’ensemble des considérants qui précèdent, le recours doit être rejeté dans la mesure où il est recevable. III. Requête de récusation 1.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I.________ à l’encontre du Procureur général adjoint F.________ (art. 13 LVCPP [loi vaudoise du 19 mai 2009 d’introduction du code de procédure pénale suisse ; RSV 312.01]). 2.</w:t>
      </w:r>
    </w:p>
    <w:p>
      <w:r>
        <w:rPr>
          <w:b/>
        </w:rPr>
        <w:t>E. 6</w:t>
      </w:r>
    </w:p>
    <w:p>
      <w:r>
        <w:t>à 19 du recours, la recourante soutient que les faits auraient été faussement ou inexactement formulés dans l’ordonnance de classement. Très en substance, elle reprend à plusieurs reprises certaines formulations de l’ordonnance attaquée qu’elle considère comme inexactes. Elle remet également en cause l’appréciation faite par le procureur de l’expertise graphologique. Elle reproche ensuite au procureur d’avoir faussement exposé ou suggéré le but exact des fondations A.________, J.________ et O.________. Elle remet en outre en cause le fait qu’entre le 1 er novembre 1998 et le début du mois d'août 2000, la collection de la Fondation A.________ a été déplacée temporairement dans un local sécurisé loué par A.V.________ à X.________SA, au port-franc de l'aéroport de Genève. Elle estime qu’il ne serait pas possible de soutenir que la collection des œuvres d’art de la liste dite « Attachment A » n’existait pas dans le patrimoine des époux [...] au motif qu’elle n’avait pas été déclarée au fisc lors de l’ouverture de la succession de D.V.________ décédé en 1994. En l’espèce, tous ces griefs sont purement appellatoires et doivent donc être écartés, la recourante se contentant de contester certaines constatations de l’ordonnance – souvent sur des points de détail qui n’ont pas grande pertinence pour la solution du litige, comme le but exact des fondations A.________, J.________ et O.________ – en y substituant ses propres affirmations, sans toutefois démontrer que les constatations de l’ordonnance seraient inexactes. En particulier, le fait que d’autres infractions que celles de gestion déloyale et de faux dans les titres – pour lesquelles une instruction pénale a été ouverte contre H.________ – avaient été évoquées par la plaignante n’est pas pertinent dans la mesure où la recourante ne démontre pas l’existence de soupçons suffisants de commission de telles infractions. Quant au mandat d’expertise de signatures et à ses conclusions, la recourante fait état de toutes sortes d’hypothèses qui échouent toutefois à mettre en cause l’appréciation des preuves opérée par le Ministère public sur la base notamment du résultat clair de l’expertise. Quant au fait – constant – que les œuvres d’art de la liste dite « Attachment A » n’ont pas été déclarées au fisc lors de l’ouverture de la succession de D.V.________, décédé en 1994 – et pour cause, puisque ces œuvres avaient été cédées à R.________SA selon contrat de 1985 exécuté en 1988 –, de sorte qu’on ne voit pas comment H.________ aurait pu les intégrer dans l’inventaire de la succession de la veuve de D.V.________, elle tente en vain d’en faire abstraction en requérant d’autres mesures d’instruction. Pour le surplus, la recourante ne fait que réaffirmer des faits ou émettre de simples hypothèses sans apporter la preuve de ses déclarations et sans démontrer en quoi l’analyse juridique du procureur serait erronée. Elle essaie en vain de contourner ces exigences en requérant d’autres mesures d’instruction, réquisitions qui, dans ces circonstances, constitueraient une recherche générale indéterminée de moyens de preuve (" fishing expedition "), inadmissible en droit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