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44 vom 26. Januar 2016</w:t>
      </w:r>
    </w:p>
    <w:p>
      <w:r>
        <w:t>VD Tribunal cantonal, 2016-01-26, FR</w:t>
      </w:r>
    </w:p>
    <w:p>
      <w:r>
        <w:rPr>
          <w:b/>
        </w:rPr>
        <w:t xml:space="preserve">Quelle: </w:t>
      </w:r>
      <w:r>
        <w:t>https://mcp.opencaselaw.ch/entscheid/vd_findinfo_D_cision___2016___44</w:t>
      </w:r>
    </w:p>
    <w:p>
      <w:r>
        <w:t>FR: VD_FINDINFO Décision / 2016 / 44 du 26 janvier 2016</w:t>
      </w:r>
    </w:p>
    <w:p>
      <w:r>
        <w:t>IT: VD_FINDINFO Décision / 2016 / 44 del 26 gennaio 2016</w:t>
      </w:r>
    </w:p>
    <w:p>
      <w:pPr>
        <w:pStyle w:val="Heading2"/>
      </w:pPr>
      <w:r>
        <w:t>Regeste</w:t>
      </w:r>
    </w:p>
    <w:p>
      <w:r>
        <w:t>REJET DE LA DEMANDE, DÉTENTION PROVISOIRE, RISQUE DE FUITE, RISQUE DE COLLUSION, RISQUE DE RÉCIDIVE | 221 al. 1 let. a CPP (CH), 221 al. 1 let. b CPP (CH), 221 al. 1 let. c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détenu qui a qualité pour recourir (art. 382 CPP), de sorte qu’il est recevable.</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 4.1 ; TF 1B_410/2010 du 23 décembre 2010 consid. 4.1 ; Forster, op. cit., n. 3 ad art. 221 CPP).</w:t>
      </w:r>
    </w:p>
    <w:p>
      <w:r>
        <w:rPr>
          <w:b/>
        </w:rPr>
        <w:t>E. 2.1</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consid. 4.1 ; Piquerez, Traité de procédure pénale suisse, 2 e éd., Zurich 2006, n. 845 ; Schmocker, op. cit., n. 8 ad art. 221 CPP, p. 1025 : Forster, in : Niggli/ Heer/Wiprächtiger [éd.], Basler Kommentar, Schweizerische Strafprozessordnung,</w:t>
      </w:r>
    </w:p>
    <w:p>
      <w:r>
        <w:rPr>
          <w:b/>
        </w:rPr>
        <w:t>E. 2.1.1</w:t>
      </w:r>
    </w:p>
    <w:p>
      <w:r>
        <w:t>Le recourant soutient que les éléments au dossier ne permettraient pas de considérer qu’il existe des soupçons suffisamment sérieux à son égard pour le maintenir en détention provisoire. Il fait valoir en bref qu’il n’aurait pas participé au brigandage litigieux, que personne n’aurait pu confirmer sa présence sur les lieux de l’attaque du fourgon, que le témoignage de G.________ ne serait guère sérieux et convaincant, qu’il serait inexploitable en raison de l’absence de la signature de l’inspecteur ayant tenu le procès-verbal d’audition et que ce vice invaliderait le procès-verbal d’audition de ce témoin.</w:t>
      </w:r>
    </w:p>
    <w:p>
      <w:r>
        <w:rPr>
          <w:b/>
        </w:rPr>
        <w:t>E. 2.1.2</w:t>
      </w:r>
    </w:p>
    <w:p>
      <w:r>
        <w:t>En l’espèce, le recourant, qui conteste toute implication dans le brigandage commis le 30 décembre 2015 à [...], a été appréhendé à la suite du témoignage de G.________, laquelle dit l’avoir entendu parler des faits litigieux au téléphone alors qu’elle était dans le train entre [...] et [...].  G.________ a été entendue par la police le 3 janvier 2016. Ses déclarations ont été verbalisées dans un procès-verbal qui n’a pas été signé par l’inspecteur [...] qui a fonctionné comme greffier lors de son audition, mais au pied duquel figurent toutefois les signatures de l’inspecteur [...] et de G.________. Selon le recourant, le Tribunal des mesures de contrainte ne pourrait pas se fonder sur le procès-verbal de l’audition de ce témoin pour ordonner sa mise en détention provisoire dès lors que l’absence de signature du greffier le rendrait nul et inexploitable. Quand bien même ce procès-verbal n’est pas conforme aux exigences de l’art. 76 al. 2 CPP qui impose que le préposé au procès-verbal atteste l’exactitude de celui-ci par sa signature, on ignore à ce stade pour quelle raison la signature du greffier manque. Les autres signatures, en particulier celle de la personne entendue et celle de l’autre agent de police ayant participé à l’audition, figurent au pied du procès-verbal litigieux. Il n’est par ailleurs pas contesté que l’audition de G.________ soit conforme à l’art. 181 CPP. Cela étant, il n’appartient en principe pas au juge de la détention de se prononcer sur le caractère exploitable d’un moyen de preuve litigieux. Il peut ainsi tenir compte des moyens de preuves figurant au dossier à moins que ceux-ci n’apparaissent d’emblée inexploitables (TF 1B_501/2012 du 10 octobre 2012 consid. 4.2 et réf. citées). En l’occurrence, l’absence de signature du greffier relevée ne permet pas de considérer ce procès-verbal comme étant d’emblée inexploitable dans la mesure où il pourrait s’agir de la violation d’une simple prescription d’ordre au sens de l’art. 141 al. 3 CPP. Au surplus, si tel ne devait pas être le cas, on pourrait se trouver dans un cas d’application de l’art. 141 al. 2 in fine CPP, s’agissant d’un cas de brigandage qualifié. Au vu de ce qui précède, la cour de céans considère que le procès-verbal de l’audition de G.________ n’apparaît pas d’emblée inexploitable et qu’il suffit, à ce stade de l’instruction, à fonder une présomption sérieuse de culpabi­lité à l’encontre de J.________ et justifier sa mise en détention provisoire pour une durée de trois mois. En effet, le recourant a été mis en cause de manière crédi­ble par le témoigna­ge d’une passagère d’un train qui a surpris sa conversation téléphonique avec un tiers au sujet du brigandage de [...] et qui a fait de lui une description détaillée. Le recourant a en outre ultérieurement pu être identifié sur les images de la vidéo surveil­lan­ce du train. Le fait que ce dernier soutienne qu’il ne pouvait pas être sur les lieux du braquage vers 19h40 dès lors qu’il était au [...] où il devait s’inscrire jusqu’à 20h et où il aurait passé la nuit du 30 décembre 2015 ne suffit pas à le disculper dès lors que son heure d’arrivée n’a pas été enregistrée et que les personnes connues du centre y sont acceptées après 20h. Enfin, on peut encore souligner que le Ministère public de l’arrondissement de Lausanne avait déjà ouvert une enquête pénale à l’encontre du recourant le 12 décembre 2015 pour actes préparatoires à brigan­dage. Il s’ensuit qu’il existe, à ce stade, des soupçons suffisants que le recourant a participé au brigan­dage qualifié litigieux. On rappelle par ailleurs qu’il n’appartient pas à l’autorité de recours statuant sur le recours interjeté à l’encontre d’une décision du Tribunal des mesures de contrainte de donner des instructions au Ministère public sur les décisions à prendre en sa qualité de  « direction de la procédure ».</w:t>
      </w:r>
    </w:p>
    <w:p>
      <w:r>
        <w:rPr>
          <w:b/>
        </w:rPr>
        <w:t>E. 2.2</w:t>
      </w:r>
    </w:p>
    <w:p>
      <w:r>
        <w:t>Le recourant conteste également les risques de collusion, de fuite et de récidive retenus par le Tribunal des mesures de contrainte (art. art 221 al. 1 let a, b et c CPP).</w:t>
      </w:r>
    </w:p>
    <w:p>
      <w:r>
        <w:rPr>
          <w:b/>
        </w:rPr>
        <w:t>E. 2.2.1</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2.2.2</w:t>
      </w:r>
    </w:p>
    <w:p>
      <w:r>
        <w:t>En l’espèce, au vu des dénégations du protagoniste mis en cause, de l’absence d’identification des deux autres individus ayant pris part au brigandage et du fait que le butin n’a pas été retrouvé, le risque de collusion est suffisamment établi à ce stade. L’enquête en est à ses débuts et des investigations sont encore en cours pour identifier les deux complices du recourant. Il y a également lieu de craindre que le recourant mette sa liberté à profit pour tenter de dissimuler le butin ou des moyens de preuve utiles à l’indentification de ses deux complices et à l’établissement des faits relatifs au brigandage litigieux. Dans ces circonstances, le risque de collusion s’oppose à la levée de la détention provisoire du recourant.</w:t>
      </w:r>
    </w:p>
    <w:p>
      <w:r>
        <w:rPr>
          <w:b/>
        </w:rPr>
        <w:t>E. 2.3</w:t>
      </w:r>
    </w:p>
    <w:p>
      <w:r>
        <w:t>Les conditions de l’art. 221 al. 1 CPP étant alternatives (TF 1B_249/2011 du 7 juin 2011 consid. 2.4), l’existence d’un risque de collusion  dispense d’examiner si la détention provisoire s’impose également en raison d’un risque de fuite et de récidive. Par surabondance, on peut toutefois relever que les risques de fuite et de réitération sont également réalisés pour les motifs exposés ci-après.</w:t>
      </w:r>
    </w:p>
    <w:p>
      <w:r>
        <w:rPr>
          <w:b/>
        </w:rPr>
        <w:t>E. 2.3.1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 En l’espèce, le recourant, ressortissant français sans domicile ni activité lucrative en Suisse, n’a aucune attache avec la Suisse, hormis sa fille de deux ans. En l’absence de tout lien solide avec la Suisse, il est fortement à craindre, au vu de la peine qu’il encourrait en cas de condamnation, qu’il ne cherche à se soustraire aux poursuites engagées contre lui en se réfugiant à l’étranger ou en disparaissant dans la clandestinité. Par conséquent, le risque de fuite est concret.</w:t>
      </w:r>
    </w:p>
    <w:p>
      <w:r>
        <w:rPr>
          <w:b/>
        </w:rPr>
        <w:t>E. 2.3.2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consid. 3 et 4). Le maintien en détention provisoire respectivement pour des motifs de sûreté se justifie si le pronostic est très défavorable et si les infractions dont l'autorité redoute la réitération sont graves (ATF 137 IV 84 consid. 4.5, JdT 2011 IV 325; ATF 135 I 71 c. 2.3; ATF 133 I 270 consid. 2.2 et les arrêts cités, JdT 2011 IV 3; TF 1B_39/2013 du 14 février 2013 consid.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En l’espèce, la situation du recourant, qui est sans travail et sans domicile en Suisse, est précaire. Vu ses antécédents judiciaires et les enquêtes pénales ouvertes à son encontre et actuellement en cours, le risque de réitération est concret, le recourant ayant en particulier déjà été condamné pour brigandage et tentative de brigandage qualifié le 25 juin 2014 par le Tribunal correctionnel de Lausanne.  L’ensemble des éléments au dossier témoignent enfin de l’incapacité du recourant à respecter la loi.</w:t>
      </w:r>
    </w:p>
    <w:p>
      <w:r>
        <w:rPr>
          <w:b/>
        </w:rPr>
        <w:t>E. 2.4</w:t>
      </w:r>
    </w:p>
    <w:p>
      <w:r>
        <w:t>Au vu de ce qui précède et de la gravité des accusations portées à l’encontre du recourant, aucune mesure de substitution n’est à même, en l’état, de prévenir les risques retenus (art. 237 al. 1 CPP).</w:t>
      </w:r>
    </w:p>
    <w:p>
      <w:r>
        <w:rPr>
          <w:b/>
        </w:rPr>
        <w:t>E. 3</w:t>
      </w:r>
    </w:p>
    <w:p>
      <w:r>
        <w:t>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J.________ est détenu depuis le 4 janvier 2016, soit depuis trois semaines. Il est notamment prévenu de brigandage qualifié et de brigandage en bande, d’actes préparatoires délictueux, d’infraction à la LArm et d’infraction à la LStup. Ainsi, compte tenu de la gravité des actes qui sont reprochés au recourant, la durée de la détention provisoire n'apparaît nullement dispropor­tionnée au regard de la peine encourue. Au vu de ces éléments, le principe de la proportionnalité de la détention provisoire demeure donc respecté.</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1’320 fr. (art. 20 al. 1 [Tarif des frais judiciaires de procédure et indemnités en matière pénale du 28 septembre 2010 ; RSV 312.03.1]) et des frais imputables à la défense d’office (art. 422 al. 1 et 2 let. a CPP), fixés à 540 fr., plus la TVA par 43 fr. 20, soit un total de 583 fr. 20, seront mis à la charge de J.________,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8 janvier 2016 est confirmée. III. L’indemnité allouée au défenseur d’office de J.________ est fixée à 583 fr. 20 (cinq cent huitante-trois francs et vingt centimes). IV. Les frais d’arrêt, par 1’320 fr. (mille trois cent vingt francs), ainsi que l’indemnité due au défenseur d’office de J.________, par 583 fr. 20 (cinq cent huitante-trois francs et vingt centimes), sont mis à la charge de ce dernier. V. Le remboursement à l’Etat de l’indemnité allouée au chiffre III ci-dessus ne sera exigible que pour autant que la situation économique de J.________ se soit améliorée VI. Le présent arrêt est exécutoire. Le président :               La greffière : Du Le présent arrêt, dont la rédaction a été approuvée à huis clos, est notifié, par l'envoi d'une copie complète, à : - Me Frank Tièche (pour J.________),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