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435 vom 13. Juni 2016</w:t>
      </w:r>
    </w:p>
    <w:p>
      <w:r>
        <w:t>VD Tribunal cantonal, 2016-06-13, FR</w:t>
      </w:r>
    </w:p>
    <w:p>
      <w:r>
        <w:rPr>
          <w:b/>
        </w:rPr>
        <w:t xml:space="preserve">Quelle: </w:t>
      </w:r>
      <w:r>
        <w:t>https://mcp.opencaselaw.ch/entscheid/vd_findinfo_D_cision___2016___435</w:t>
      </w:r>
    </w:p>
    <w:p>
      <w:r>
        <w:t>FR: VD_FINDINFO Décision / 2016 / 435 du 13 juin 2016</w:t>
      </w:r>
    </w:p>
    <w:p>
      <w:r>
        <w:t>IT: VD_FINDINFO Décision / 2016 / 435 del 13 giugno 2016</w:t>
      </w:r>
    </w:p>
    <w:p>
      <w:pPr>
        <w:pStyle w:val="Heading2"/>
      </w:pPr>
      <w:r>
        <w:t>Regeste</w:t>
      </w:r>
    </w:p>
    <w:p>
      <w:r>
        <w:t>NON-LIEU, CONTRAINTE{DROIT PÉNAL} | 181 CP,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Interjeté dans le délai légal auprès de l’autorité compétente par la partie plaignante, qui a la qualité pour recourir (cf. art. 382 al. 1 CPP), le recours est recevable.</w:t>
      </w:r>
    </w:p>
    <w:p>
      <w:r>
        <w:rPr>
          <w:b/>
        </w:rPr>
        <w:t>E. 2.1</w:t>
      </w:r>
    </w:p>
    <w:p>
      <w:r>
        <w:t>Aux termes de l'art. 310 al. 1 let. a CPP, une ordonnance de non-entrée en matière est rendue immédiatement – c’est-à-dire sans qu’une instruction soit ouverte (art. 309 al. 1 et 4 CPP; TF 1B_111/2012 du 5 avril 2012 consid. 2.1; Cornu, in: Kuhn/Jeanneret [éd.], Code de procédure pénale suisse, Commentaire romand,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rPr>
          <w:b/>
        </w:rPr>
        <w:t>E. 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ATF 129 IV 6 consid. 3.4;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ATF 120 IV 17 consid. 2a/aa). Sur le plan subjectif, il faut que l'auteur ait agi avec conscience et volonté, soit au moins qu'il ait accepté l'éventualité que le procédé illicite employé entrave le destinataire dans sa liberté de décision (ATF 120 IV 17 consid. 2c; TF 6B_38/2011 consid. 2.2.1 du 26 avril 2011).</w:t>
      </w:r>
    </w:p>
    <w:p>
      <w:r>
        <w:rPr>
          <w:b/>
        </w:rPr>
        <w:t>E. 2.3</w:t>
      </w:r>
    </w:p>
    <w:p>
      <w:r>
        <w:t>En l'occurrence, l'argent réclamé par la poursuite incriminée est effectivement dû puisqu'il a été alloué aux époux [...] à la charge du recourant, par le jugement définitif et exécutoire rendu le 28 avril 2015 par le Tribunal de police de l'arrondissement de la Côte. S.________ explique vouloir faire recours devant la Cour Européenne des droits de l'Homme. La décision ne serait ainsi pas définitive. Cependant, il se méprend sur la portée d'un tel recours, puisque les arrêts de la Cour sont purement déclaratoires et n'ont aucun effet suspensif ( Piquerez, Traité de procédure pénale suisse, 2 e éd., Zurich 2006 , n. 184 p. 131). Pour le surplus, la somme étant due, le moyen utilisé est licite et les éléments constitutifs de la contrainte ne sont pas réalisés. C'est donc à juste titre que le Ministère public a rendu l'ordonnance de classement querellée en application de l'art. 310 CPP, dont les conditions sont remplies.</w:t>
      </w:r>
    </w:p>
    <w:p>
      <w:r>
        <w:rPr>
          <w:b/>
        </w:rPr>
        <w:t>E. 3</w:t>
      </w:r>
    </w:p>
    <w:p>
      <w:r>
        <w:t>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 RSV 312.03.1]), seront mis à la charge de S.________, qui succombe (art. 428 al. 1 CPP). Ils seront compensés avec le montant déjà versé par celui-ci à titre de sûreté et reçu le 11 mai 2016. Par ces motifs, la Chambre des recours pénale prononce : I. Le recours est rejeté. II. L'ordonnance du 6 avril 2016 est confirmée. III. Les frais d'arrêt, par 550 fr. (cinq cent cinquante francs), sont mis à la charge deS.________. IV . Les frais mis à la charge du recourant au chiffre III ci-dessus sont compensés avec le montant de 550 fr. (cinq cent cinquante francs) déjà versé par celui-ci à titre de sûretés. V. L’arrêt est exécutoire. Le président :               La greffière : Du Le présent arrêt, dont la rédaction a été approuvée à huis clos, est notifié, par l'envoi d'une copie complète, à : - M. S.________,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