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428 vom 24. Juni 2016</w:t>
      </w:r>
    </w:p>
    <w:p>
      <w:r>
        <w:t>VD Tribunal cantonal, 2016-06-24, FR</w:t>
      </w:r>
    </w:p>
    <w:p>
      <w:r>
        <w:rPr>
          <w:b/>
        </w:rPr>
        <w:t xml:space="preserve">Quelle: </w:t>
      </w:r>
      <w:r>
        <w:t>https://mcp.opencaselaw.ch/entscheid/vd_findinfo_D_cision___2016___428</w:t>
      </w:r>
    </w:p>
    <w:p>
      <w:r>
        <w:t>FR: VD_FINDINFO Décision / 2016 / 428 du 24 juin 2016</w:t>
      </w:r>
    </w:p>
    <w:p>
      <w:r>
        <w:t>IT: VD_FINDINFO Décision / 2016 / 428 del 24 giugno 2016</w:t>
      </w:r>
    </w:p>
    <w:p>
      <w:pPr>
        <w:pStyle w:val="Heading2"/>
      </w:pPr>
      <w:r>
        <w:t>Regeste</w:t>
      </w:r>
    </w:p>
    <w:p>
      <w:r>
        <w:t>ADMINISTRATION DES PREUVES, REJET DE LA DEMANDE, DOMMAGE IRRÉPARABLE, EXPERTISE PSYCHIATRIQUE, VÉRIFICATION D'ÉCRITURE | 182 CPP (CH), 394 let. b CPP (CH)</w:t>
      </w:r>
    </w:p>
    <w:p>
      <w:pPr>
        <w:pStyle w:val="Heading2"/>
      </w:pPr>
      <w:r>
        <w:t>Erwägungen</w:t>
      </w:r>
    </w:p>
    <w:p>
      <w:r>
        <w:rPr>
          <w:b/>
        </w:rPr>
        <w:t>E. 1.1</w:t>
      </w:r>
    </w:p>
    <w:p>
      <w:r>
        <w:t>Aux termes de l’art. 393 al. 1 let. a CPP, le recours est recevable contre les décisions et les actes de procédure du Ministère public. Ainsi, la décision du Ministère public d'administrer ou de refuser d'administrer une preuve au sens des art. 139 ss CPP peut en principe faire l’objet d’un recours selon les art. 393 ss CPP (Moreillon/Parein-Reymond, Petit commentaire, Code de procédure pénale, Bâle 2013, n. 12 ad art. 393 CPP ; Keller, in Donatsch/Hansjakob/Lieber [éd.], Kommentar zur Schweizerischen Strafprozessordnung, Zurich/Bâle/Genève 2014, n. 16 ad art. 393 CPP ; CREP 27 juillet 2015/500 ; CREP 30 mai 2014/376). Par souci d’économie, l'art. 394 let. b CPP déroge toutefois à ce principe (Moreillon/Parein-Reymond, Petit commentaire, Code de procédure pénale, Bâle 2013, n. 7 ad art. 394 CPP), en disposant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consid. 4.1 ; ATF 134 III 188 consid. 2.3 ; ATF 133 IV 139 consid. 4 ; TF 1B_688/2011 du 14 mars 2012). Cette règle comporte toutefois des exceptions, notamment lorsque le refus porte sur des moyens de preuve qui risquent de disparaître et qui visent des faits décisifs non encore élucidés (ATF 133 IV 335 consid. 4 ; ATF 101 Ia 161 ; ATF 98 Ib 282 consid. 4 ; TF 1B_688/2011 du 14 mars 2012 et les références citées). Le législateur a expressément exclu tout recours contre les décisions de rejet de réquisitions de preuve formulées dans le cadre du délai de l’art. 318 al. 1 CPP (cf. art. 318 al. 3 CPP).</w:t>
      </w:r>
    </w:p>
    <w:p>
      <w:r>
        <w:rPr>
          <w:b/>
        </w:rPr>
        <w:t>E. 1.2</w:t>
      </w:r>
    </w:p>
    <w:p>
      <w:r>
        <w:t>L.________ conteste tant le rejet de la requête tendant à la mise en œuvre d’une expertise psychiatrique sur elle-même (recours, p. 6 à 11) que le rejet de sa requête tendant à la mise en œuvre d’une expertise « graphologique » (recours, p. 11 à 16).</w:t>
      </w:r>
    </w:p>
    <w:p>
      <w:r>
        <w:rPr>
          <w:b/>
        </w:rPr>
        <w:t>E. 1.3</w:t>
      </w:r>
    </w:p>
    <w:p>
      <w:r>
        <w:t>Il convient en premier lieu d’analyser la question de la recevabilité du recours de L.________ qui, comme on l’a vu, doit s’examiner ici en fonction de la possibilité pour L.________ de réitérer, sans préjudice irréparable, ses réquisitions à un stade ultérieur de la procédure et de se plaindre d’un éventuel refus devant une autorité supérieure. En l’occurrence, s’agissant de la crédibilité de la recourante en tant que partie plaignante, si la procédure devait être classée, comme envisagé par le Ministère public, L.________ pourra réitérer ses réquisitions devant  l’autorité de recours sans préjudice juridique. Il en va de même, s’agissant de l’examen de la responsabilité pénale de la recourante au moment des faits, si elle devait condamnée par ordonnance pénale sans expertise psychiatrique. En effet, l’intéressée pourrait faire opposition à cette ordonnance pénale et réitérer cette réquisition devant le Tribunal de première instance, sans préjudice juridique également. S’agissant de la requête d’expertise graphologique, elle ne vise qu’à ébranler l’accusation de faux dans les titres portée contre elle. Elle pourra également être réitérée sans préjudice aucun devant le Tribunal de première instance. Vu ce qui précède, la recourante pourra renouveler, sans préjudice juridique irréparable, ses réquisitions tendant à la mise en œuvre d’une expertise psychologique et d’une expertise graphologique soit devant l’autorité de recours, soit devant le Tribunal de première instance. Pour le surplus, la Chambre des recours pénale se réfère à son arrêt du 27 janvier 2016 (CREP 27 janvier 2016/67).</w:t>
      </w:r>
    </w:p>
    <w:p>
      <w:r>
        <w:rPr>
          <w:b/>
        </w:rPr>
        <w:t>E. 3</w:t>
      </w:r>
    </w:p>
    <w:p>
      <w:r>
        <w:t>Il résulte de ce qui précède que le recours doit être déclaré irrecevable, tant en ce qui concerne la requête de mise en œuvre d’une expertise de crédibilité qu’en ce qui concerne la requête de mise en œuvre d’une expertise « graphologique ». Me Virgine Rodigari doit être rémunérée pour son activité de conseil juridique gratuit et de défenseur d’office de la recourante – activité dont on peut admettre qu’elle concerne par moitié la position de prévenue et par moitié la position de partie plaignante de la recourante – par une indemnité fixée à 900 fr., plus la TVA par 72 fr., soit 972 fr. au total. Vu l’octroi à la recourante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770 fr. (art. 20 al. 1 TFJP [tarif des frais judiciaires pénaux; RSV 312.03.1]) et des frais imputables à la défense d’office et à l’assistance judiciaire gratuite (art. 422 al. 1 et 2 let. a CPP), fixés à 900 fr., plus la TVA par 72 fr., soit au total 972 fr. – ne peuvent être entièrement mis à la charge de la recourante qui succombe (art. 428 al. 1 CPP), mais doivent être, par moitié, provisoirement laissés à la charge de l’Etat (Goran Mazzuchelli/Mario Postizzi, in: Niggli/Heer/Wiprächtiger (éd.), Basler Kommentar, Schweizerische Strafprozessordnung, Jugendstrafprozessordnung, Bâle 2011, n. 4 ad art. 138 CPP; Maurice Harari/Corinne Corminboeuf, in: Kuhn/Jeanneret [éd.], Code de procédure pénale suisse, Commentaire romand, Bâle 2011, n. 51 ad art. 136 CPP). La recourante sera toutefois tenue de rembourser cette part des frais à l’Etat dès que sa situation financière le permettra (art. 135 al. 4 CPP et 138 al. 1 CPP; Mazzuchelli/Postizzi, op. cit., n. 4 ad art. 138 CPP; Harari/Corminboeuf, op. cit., n. 11 ad art. 138 CPP). Par ces motifs, la Chambre des recours pénale prononce : I. Le recours est irrecevable. II. L’indemnité allouée au défenseur d’office et conseil juridique gratuit de L.________ est fixée à 972 fr. (neuf cent septante-deux francs). III. Les frais du présent arrêt, par 770 fr. (sept cent septante francs), ainsi que l’indemnité due au défenseur d’office et conseil juridique gratuit d’L.________, par 972 fr. (neuf cent septante-deux francs), sont mis à la charge de la recourante pour moitié, soit par 871 fr. (huit cent septante et un francs) et provisoirement laissés à la charge de l’Etat pour l’autre moitié, soit par 871 fr. (huit cent septante et un francs). IV. La recourante est tenue de rembourser à l’Etat la part de l’indemnité allouée au chiffre II ci-dessus ainsi que des frais fixés au chiffre III ci-dessus qui est provisoirement laissée à la charge de l’Etat, dès que sa situation financière le permettra. V. L’arrêt est exécutoire. Le président :               La greffière : Du Le présent arrêt, dont la rédaction a été approuvée à huis clos, est notifié, par l'envoi d'une copie complète, à : - Me Amédée Kasser, avocat (pour M.________), - Me Jean-Emmanuel Rossel, avocat (pour N.________), - Me Virginie Rodigari, avocate (pour L.________),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