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419 vom 3. Juni 2016</w:t>
      </w:r>
    </w:p>
    <w:p>
      <w:r>
        <w:t>VD Tribunal cantonal, 2016-06-03, FR</w:t>
      </w:r>
    </w:p>
    <w:p>
      <w:r>
        <w:rPr>
          <w:b/>
        </w:rPr>
        <w:t xml:space="preserve">Quelle: </w:t>
      </w:r>
      <w:r>
        <w:t>https://mcp.opencaselaw.ch/entscheid/vd_findinfo_D_cision___2016___419</w:t>
      </w:r>
    </w:p>
    <w:p>
      <w:r>
        <w:t>FR: VD_FINDINFO Décision / 2016 / 419 du 3 juin 2016</w:t>
      </w:r>
    </w:p>
    <w:p>
      <w:r>
        <w:t>IT: VD_FINDINFO Décision / 2016 / 419 del 3 giugno 2016</w:t>
      </w:r>
    </w:p>
    <w:p>
      <w:pPr>
        <w:pStyle w:val="Heading2"/>
      </w:pPr>
      <w:r>
        <w:t>Regeste</w:t>
      </w:r>
    </w:p>
    <w:p>
      <w:r>
        <w:t>CONTRAINTE{DROIT PÉNAL}, INFRACTIONS CONTRE L'HONNEUR, NON-LIEU | 173 CP, 174 CP, 181 CP, 22 ad 181 CP, 310 CPP</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w:t>
      </w:r>
    </w:p>
    <w:p>
      <w:r>
        <w:rPr>
          <w:b/>
        </w:rPr>
        <w:t>E. 1.2</w:t>
      </w:r>
    </w:p>
    <w:p>
      <w:r>
        <w:t>Interjeté dans le délai légal auprès de l’autorité compétente par la partie plaignante qui a qualité pour recourir (art. 382 al. 1 CPP), le recours est recevable.</w:t>
      </w:r>
    </w:p>
    <w:p>
      <w:r>
        <w:rPr>
          <w:b/>
        </w:rPr>
        <w:t>E. 2</w:t>
      </w:r>
    </w:p>
    <w:p>
      <w:r>
        <w:t>Aux termes de l'art. 310 al. 1 let. a CPP, une ordonnance de non-entrée en matière est rendue immédiatement – c’est-à-dire sans qu’une instruction soit ouverte (art. 309 al. 1 et 4 CPP; TF 1B_111/2012 du 5 avril 2012 consid. 2.1; Cornu, in: Kuhn/Jeanneret [éd.], Code de procédure pénale suisse, Commentaire romand,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TF 1B_67/2012 du 29 mai 2012 consid. 2.2).</w:t>
      </w:r>
    </w:p>
    <w:p>
      <w:r>
        <w:rPr>
          <w:b/>
        </w:rPr>
        <w:t>E. 3.1</w:t>
      </w:r>
    </w:p>
    <w:p>
      <w:r>
        <w:t>Le recourant soutient que la notification d’un commandement de payer par son ancien employeur justifierait l’ouverture d’une instruction pénale pour tentative de contrainte.</w:t>
      </w:r>
    </w:p>
    <w:p>
      <w:r>
        <w:rPr>
          <w:b/>
        </w:rPr>
        <w:t>E. 3.2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(ATF 134 IV 216 consid. 4.1; ATF 129 IV 6 consid. 3.4; ATF 119 IV 301 consid. 2b).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consid. 1a; ATF 120 IV 17 consid. 2a/aa). Sur le plan subjectif, il faut que l'auteur ait agi avec conscience et volonté, soit au moins qu'il ait accepté l'éventualité que le procédé illicite employé entrave le destinataire dans sa liberté de décision (ATF 120 IV 17 consid. 2c; TF 6B_38/2011 consid. 2.2.1 du 26 avril 2011).</w:t>
      </w:r>
    </w:p>
    <w:p>
      <w:r>
        <w:rPr>
          <w:b/>
        </w:rPr>
        <w:t>E. 3.3</w:t>
      </w:r>
    </w:p>
    <w:p>
      <w:r>
        <w:t>En l’espèce, le commandement litigieux de 86'400 fr. se rapporte à la facture du 17 décembre 2015 et à l’indemnité de 80'000 fr. pour violation de la clause de prohibition de concurrence (P. 5/5 et 5/14). Il est clair que ce commandement de payer a pu causer au recourant de vifs désagréments. Il faut toutefois rappeler que l’intéressé a signé le 23 février 2012 le contrat de travail qui prévoyait, à son chiffre 8, des indemnités pour violation de la clause de non-concurrence respectivement de 80'000 fr. et 50'000 fr. pour la première et la deuxième année suivant la fin des rapports de service (P. 5/2). Il n’appartient pas à la Chambre des recours pénale d’apprécier le caractère prétendument exorbitant, au dire du recourant, de la clause de prohibition de concurrence prévue dans le contrat de travail ni de porter un jugement sur le bien-fondé ou non de la créance contestée. Le fait de chercher à obtenir le paiement d’une créance par le biais de la procédure du droit des poursuites ne constitue pas un moyen de contrainte illicite, la créance en question fût-elle douteuse (ATF 69 IV 168, JdT 1944 IV 18). Au surplus, rien ne permet d’affirmer qu’au moment où F.________ Sàrl a fait notifier le commandement de payer au recourant, elle pouvait penser qu’elle n’était pas fondée à lui réclamer la somme litigieuse. Les éléments constitutifs de l’infraction de contrainte ne sont ainsi pas réalisés.</w:t>
      </w:r>
    </w:p>
    <w:p>
      <w:r>
        <w:rPr>
          <w:b/>
        </w:rPr>
        <w:t>E. 4.1</w:t>
      </w:r>
    </w:p>
    <w:p>
      <w:r>
        <w:t>Le recourant fait valoir qu’en raison des allégations attentatoires à son honneur contenues dans la lettre adressée le 3 février 2016 par le conseil de F.________ Sàrl à R.________ SA, il y aurait lieu d’ouvrir une instruction pénale pour diffamation, voire calomnie.</w:t>
      </w:r>
    </w:p>
    <w:p>
      <w:r>
        <w:rPr>
          <w:b/>
        </w:rPr>
        <w:t>E. 4.2</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Ces deux dispositions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 ATF 137 IV 313 consid. 2.1.1; ATF 132 IV 112 consid. 2.1; ATF 128 IV 53 consid. 1a p. 57 s.).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 ATF 128 IV 53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Dans des débats en justice, le climat peut être très tendu, ce d’autant plus que le succès d’une partie implique la défaite de son contradicteur. Il est ainsi compréhensible que les propos d’un plaideur soient ressentis comme des attaques personnelles par l’autre partie et que celle-ci réagisse de manière excessive. Dans un tel contexte, une atteinte à l’honneur ne doit être admise que restrictivement (Favre/Pellet/Stoudmann, Code pénal annoté, 3 e éd., Lausanne 2007, n. 1.14 ad art. 173 CP).</w:t>
      </w:r>
    </w:p>
    <w:p>
      <w:r>
        <w:rPr>
          <w:b/>
        </w:rPr>
        <w:t>E. 4.3</w:t>
      </w:r>
    </w:p>
    <w:p>
      <w:r>
        <w:t>En l’espèce, on constate à la lecture de la plainte et de ses annexes que le nouvel employeur du recourant, R.________ SA, est lui-même partie prenante au litige qui divise G.________ à son ancien employeur au sujet du respect d’une clause de non-concurrence et des secrets d’affaires liés à sa précédente activité professionnelle. En effet, la lettre du 3 février 2016 de F.________ Sàrl semble être une réponse à celle de R.________ SA du 22 décembre 2015, ce qui suggère que cette dernière société était au courant, du moins dans les grandes lignes, de la situation. Il résulte en outre de la lettre litigieuse que le conseil de F.________ Sàrl entendait obtenir le respect de la clause de non-concurrence et de la confidentialité des données ayant trait aux clients. On voit mal comment l’employeur qui s’estimait lésé aurait pu agir différemment pour défendre ses propres droits. Sa situation est ainsi analogue à celle d’une partie à un procès qui, comme dans le cas présent, se limite à ce qui est nécessaire et pertinent, sans recourir à des formules inutilement blessantes (ATF 118 IV 248 consid. 2b).</w:t>
      </w:r>
    </w:p>
    <w:p>
      <w:r>
        <w:rPr>
          <w:b/>
        </w:rPr>
        <w:t>E. 5</w:t>
      </w:r>
    </w:p>
    <w:p>
      <w:r>
        <w:t>Il résulte de ce qui précède que les soupçons contre Z.________ sont insuffisants pour ordonner l’ouverture d’une instruction pénale. Les conditions posées par l’art. 310 al. 1 let. a CPP étant réunies, c’est à bon droit que la procureure a  rendu une ordonnance de non-entrée en matière.</w:t>
      </w:r>
    </w:p>
    <w:p>
      <w:r>
        <w:rPr>
          <w:b/>
        </w:rPr>
        <w:t>E. 6</w:t>
      </w:r>
    </w:p>
    <w:p>
      <w:r>
        <w:t>En définitive, le recours, manifestement mal fondé, doit être rejeté sans autres échanges d’écritures (art. 390 al. 2 CPP) et l’ordonnance de non-entrée en matière du 15 avril 2016 confirmée. Les frais de la procédure de recours, constitués en l’espèce du seul émolument d'arrêt (art. 422 al. 1 CPP), par 770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15 avril 2016 est confirmée. III. Les frais d’arrêt, par 770 fr. (sept cent septante francs), sont mis à la charge de G.________. IV. L’arrêt est exécutoire. Le président :               Le greffier : Du Le présent arrêt, dont la rédaction a été approuvée à huis clos, est notifié, par l'envoi d'une copie complète, à : - Me Alain Vuithier, avocat (pour G.________), - Mme Z.________,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