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408 vom 16. Juni 2016</w:t>
      </w:r>
    </w:p>
    <w:p>
      <w:r>
        <w:t>VD Tribunal cantonal, 2016-06-16, FR</w:t>
      </w:r>
    </w:p>
    <w:p>
      <w:r>
        <w:rPr>
          <w:b/>
        </w:rPr>
        <w:t xml:space="preserve">Quelle: </w:t>
      </w:r>
      <w:r>
        <w:t>https://mcp.opencaselaw.ch/entscheid/vd_findinfo_D_cision___2016___408</w:t>
      </w:r>
    </w:p>
    <w:p>
      <w:r>
        <w:t>FR: VD_FINDINFO Décision / 2016 / 408 du 16 juin 2016</w:t>
      </w:r>
    </w:p>
    <w:p>
      <w:r>
        <w:t>IT: VD_FINDINFO Décision / 2016 / 408 del 16 giugno 2016</w:t>
      </w:r>
    </w:p>
    <w:p>
      <w:pPr>
        <w:pStyle w:val="Heading2"/>
      </w:pPr>
      <w:r>
        <w:t>Regeste</w:t>
      </w:r>
    </w:p>
    <w:p>
      <w:r>
        <w:t>SÉQUESTRE{MESURE PROVISIONNELLE}, VÉHICULE, MOYEN DE PREUVE, REJET DE LA DEMANDE, CONFISCATION{DROIT PÉNAL} | 263 al. 1 let. a CPP (CH), 263 al. 1 let. b CPP (CH), 263 al. 1 let. d CPP (CH), 393 al. 1 let. a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2013, n. 24 ad art. 63 CPP ; Lembo/Julen Berthod, in : Kuhn/Jeanneret [éd.], Commentaire romand, Code de procédure pénale suisse, Bâle 2011, n. 4 ad art. 267 CPP ; CREP 13 mars 2015/188 ; CREP 19 février 2015/51 et les références citées).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dans le délai légal auprès de l’autorité compétente par le prévenu, qui a qualité pour recourir (art. 382 al. 1 CPP), et dans les formes prescrites (art. 385 al. 1 CPP), de sorte qu’il est recevable.</w:t>
      </w:r>
    </w:p>
    <w:p>
      <w:r>
        <w:rPr>
          <w:b/>
        </w:rPr>
        <w:t>E. 2.1</w:t>
      </w:r>
    </w:p>
    <w:p>
      <w:r>
        <w:t>Le recourant               soutient que les conditions de l’art. 263 al. 1 let. a, b et d CPP ne seraient pas remplies. Il fait valoir que la police aurait déjà procédé à un examen minutieux du véhicule, que le séquestre ne présenterait aucune utilité pour l’enquê­te, que la police aurait évoqué la restitution de la voiture à son amie lors de son audition du 20 avril 2016, qu’aucun élément au dossier ne justifierait à ce stade le séquestre de ce véhicule d’occasion de peu de valeur pour couvrir les frais de procédure, qu’il ne serait pas l’auteur d’infrac­tions répétées à la LCR (Loi fédérale sur la circulation routière du 19 décembre 1958 ; RS 741.01) et qu’il aurait acquis ce véhicule bien avant qu’il ne soit soupçonné d’avoir commis quelque infraction que ce soit.</w:t>
      </w:r>
    </w:p>
    <w:p>
      <w:r>
        <w:rPr>
          <w:b/>
        </w:rPr>
        <w:t>E. 2.2.1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Pour que le séquestre soit conforme au principe de la proportionnalité (cf. art. 197 al. 1 let. c et d CPP), il faut qu'il soit apte à produire les résultats escomptés (règle de l’aptitude), ces derniers ne pouvant pas être atteints par une mesure moins incisive (règle de la nécessité) (CREP 18 octobre 2013/647 consid. 3a et les références citées).</w:t>
      </w:r>
    </w:p>
    <w:p>
      <w:r>
        <w:rPr>
          <w:b/>
        </w:rPr>
        <w:t>E. 2.2.2</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(Lembo/Julen Berthod, op. cit., n. 5 ad art. 263 CPP). 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RS 281.1) sont exclues du séquestre (al. 3). Le séquestre dit conservatoire prévu à l’art. 263 al. 1 let. d CPP – sur lequel se fonde notamment l’ordonnance attaquée – a pour but de préparer la confiscation d’objets dangereux au sens de l’art. 69 CP ou de valeurs patrimoniales au sens de l’art. 70 CP (Moreillon/Parein-Reymond, op. cit., n. 19 ad art. 263 CPP).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w:t>
      </w:r>
    </w:p>
    <w:p>
      <w:r>
        <w:rPr>
          <w:b/>
        </w:rPr>
        <w:t>E. 2.2.3</w:t>
      </w:r>
    </w:p>
    <w:p>
      <w:r>
        <w:t>Enfin, le séquestre pénal est une mesure provisoire fondée sur la vraisemblance ; tant que l'instruction n'est pas achevée, une simple probabilité suffit (cf. Moreillon/Parein-Reymond, op. cit., n. 20 ad art. 263 CPP)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139 IV 250 consid. 2.1; ATF 137 IV 145 consid. 6.4 et les références citées; TF 1B_127/2013 du 1 er mai 2013 consid. 2).</w:t>
      </w:r>
    </w:p>
    <w:p>
      <w:r>
        <w:rPr>
          <w:b/>
        </w:rPr>
        <w:t>E. 2.3</w:t>
      </w:r>
    </w:p>
    <w:p>
      <w:r>
        <w:t>En l’espèce, le Ministère public a ordonné le séquestre du véhicule litigieux en application de l’art. 263 al. 1 let. a, b et d CPP. Il convient tout d’abord de relever que la réalisation des conditions de l’art. 268 CPP n’a pas été démontrée et que les conditions d’un séquestre en couver­ture de frais au sens de l’art. 263 al. 1 let. b CPP n’apparaissent ainsi pas remplies. S’agissant du séquestre probatoire, il est établi que le véhicule litigieux a été utilisé pour effectuer plusieurs cambriolages et il est hautement vraisemblable que le recourant l’ait utilisé pour la commission des infractions qui lui sont reprochées, de sorte qu’il existe des indices suffisants de culpabilité contre lui. Le recourant s’appuie sur les déclarations qu’il a faites lors de son audition du 20 avril 2016 par la police pour tenter de démontrer que celle-ci avait alors déjà l’intention de restituer le véhicule litigieux à son amie (PV aud. 8 D. 7 p. 3). Il résulte toutefois de ce procès-verbal que la police lui a en réalité demandé à ce moment-là s’il serait d’accord que la voiture soit restituée à sa compagne, alors même qu’il en était le possesseur. Or, la police n’a aucune compétence en matière de séquestre pénal, lequel est du seul ressort du Ministère public ; le détenteur du véhicule en cause n’est d’ailleurs ni le recourant ni son amie (P. 9 et 74/10). Il ressort du procès-verbal établi par la police lors de l’audition du recourant du 20 avril 2016 que cette voiture a été achetée à un ressortissant albanais et qu’elle n’a pas été totalement payée. Quand bien même le recourant affirme que ce véhicule lui appartient (PV aud. 2 p. 3) et que K.________ a dit à la police que son compagnon avait acheté ce véhicule en janvier 2016 (PV aud. 7 p. 3), le propriétaire de ce véhicule n’a pas encore pu être déterminé avec certitude. L’enquête doit également clarifier à qui le recourant a acheté ce véhicule, dans quelles circonstances a eu lieu cet achat et quelle utilisa­tion en a été faite. Cela étant, le véhi­cule litigieux, mis en circulation la première fois en mars 2003, a été expertisé la dernière fois le 29 janvier 2014 et sa valeur actuelle peut être estimée entre 1’000 à 1'500 fr. (P. 74/1). Les plaques minéralogi­ques ont été restituées à son détenteur  S.________, de sorte que ce véhicule ne peut plus circuler. Au vu de l’état relevé par la police (P. 74/1), on peut douter qu’il passe l’expertise et qu’il puisse être remis en circulation. Une levée de séquestre n’est ainsi pas envisageable à ce stade de l’instruction. Alors que le recourant conteste le caractère dangereux du véhicule séquestré et qu’il nie l’avoir utilisé pour commettre des infractions à la LCR, plusieurs pièces du dossier laissent planer le doute sur ce point (P. 39/4, 39/5 et 39/6). Le recourant fait également valoir qu’il n’y aurait pas de lien avec les infractions qui lui sont reprochées. Le Tribunal fédéral (ATF 114 IV 98 consid. 4, JdT 1989 IV 98) et la doc­trine (Dupuis et alii, Petit commentaire du Code pénal, Bâle 2012, n. 4 ad art. 69 CP) admettent toutefois qu’un véhicule qui a été utilisé pour des vols en plusieurs en­droits par une bande peut être séquestré comme objet dangereux. Le séquestre se justifie donc aussi en application de l’art. 263 al. 1 let. d CPP. Enfin, compte tenu de la nature de l'enquête et des investigations qui doivent encore être entreprises, le but poursuivi ne peut être atteint par aucune autre mesure moins incisive, de sorte que le séquestre litigieux est conforme au principe de la proportion­na­lité. Dans ces circonstances, le séquestre prononcé le 27 mai 2016 se justifie en application de l’art. 263 al. 1 let. a et d CPP et doit être confirmé.</w:t>
      </w:r>
    </w:p>
    <w:p>
      <w:r>
        <w:rPr>
          <w:b/>
        </w:rPr>
        <w:t>E. 3</w:t>
      </w:r>
    </w:p>
    <w:p>
      <w:r>
        <w:t>En définitive, le recours, manifestement mal fondé, doit être rejeté sans autre échange d’écritures (art. 390 al. 2 CPP) et l’ordonnance attaquée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de I.________, qui succombe (art. 428 al. 1 CPP). Le remboursement à l’Etat de l’indemnité allouée au défenseur d’office de I.________ ne sera toutefois exigible que pour autant que la situation économi­que de ce dernier se soit améliorée (art. 135 al. 4 CPP). Par ces motifs, la Chambre des recours pénale prononce : I. Le recours est rejeté. II. L’ordonnance du 27 mai 2016 est confirmée. III. L’indemnité allouée au défenseur d’office de I.________ est fixée à 583 fr. 20 (cinq cent huitante-trois francs et vingt centimes). IV. Les frais d’arrêt, par 880 fr. (huit cent huitante francs), ainsi que l’indemnité due au défenseur d’office de I.________, par 583 fr. 20 (cinq cent huitante-trois francs et vingt centimes), sont mis à la charge de ce dernier. V. Le remboursement à l’Etat de l’indemnité allouée au chiffre III ci-dessus ne sera exigible que pour autant que la situation économique de I.________ se soit améliorée. VI. L’arrêt est exécutoire. Le président :               La greffière : Du Le présent arrêt, dont la rédaction a été approuvée à huis clos, est notifié, par l'envoi d'une copie complète, à : - Me Aline Bonard (pour I.________),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