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37 vom 8. Januar 2016</w:t>
      </w:r>
    </w:p>
    <w:p>
      <w:r>
        <w:t>VD Tribunal cantonal, 2016-01-08, FR</w:t>
      </w:r>
    </w:p>
    <w:p>
      <w:r>
        <w:rPr>
          <w:b/>
        </w:rPr>
        <w:t xml:space="preserve">Quelle: </w:t>
      </w:r>
      <w:r>
        <w:t>https://mcp.opencaselaw.ch/entscheid/vd_findinfo_D_cision___2016___37</w:t>
      </w:r>
    </w:p>
    <w:p>
      <w:r>
        <w:t>FR: VD_FINDINFO Décision / 2016 / 37 du 8 janvier 2016</w:t>
      </w:r>
    </w:p>
    <w:p>
      <w:r>
        <w:t>IT: VD_FINDINFO Décision / 2016 / 37 del 8 gennaio 2016</w:t>
      </w:r>
    </w:p>
    <w:p>
      <w:pPr>
        <w:pStyle w:val="Heading2"/>
      </w:pPr>
      <w:r>
        <w:t>Regeste</w:t>
      </w:r>
    </w:p>
    <w:p>
      <w:r>
        <w:t>ENLÈVEMENT DE MINEUR{INFRACTION}, ENLÈVEMENT{INFRACTION}, QUALITÉ POUR RECOURIR, CONFLIT D'INTÉRÊTS, MAUVAIS TRAITEMENTS ENVERS LES ENFANTS, CLASSEMENT DE LA PROCÉDURE | 306 al. 3 CC, 183 CP, 219 CP, 220 CP, 319 CPP (CH)</w:t>
      </w:r>
    </w:p>
    <w:p>
      <w:pPr>
        <w:pStyle w:val="Heading2"/>
      </w:pPr>
      <w:r>
        <w:t>Erwägungen</w:t>
      </w:r>
    </w:p>
    <w:p>
      <w:r>
        <w:rPr>
          <w:b/>
        </w:rPr>
        <w:t>E. 1</w:t>
      </w:r>
    </w:p>
    <w:p>
      <w:r>
        <w:t>CPP) contre une ordonnance de classement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est déposé en temps utile; il satisfait en outre aux autres conditions légales (art. 385 al. 1 CPP), de sorte qu’il est recevable en la forme.</w:t>
      </w:r>
    </w:p>
    <w:p>
      <w:r>
        <w:rPr>
          <w:b/>
        </w:rPr>
        <w:t>E. 2</w:t>
      </w:r>
    </w:p>
    <w:p>
      <w:r>
        <w:t>La procureure a classé la procédure ouverte contre A.F.________ pour enlèvement de mineur, violation du devoir d’assistance ou d’éducation, subsidiairement séquestration et enlèvement. Il ressort du recours et de ses déterminations que la recourante ne conteste pas le classement ordonné pour enlèvement de mineur (art. 220 CP). Il convient d’en prendre acte. E.________ reproche en revanche à la procureure de ne pas avoir retenu les infractions de violation du devoir d’assistance ou d’éducation (art. 219 CP) et de séquestration et enlèvement (art. 183 CP), respectivement de ne pas avoir ordonné des mesures d’instruction propres à établir ces infractions. La question de la qualité pour recourir de E.________ se pose.</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ATF 129 IV 95 consid. 3.1; ATF 126 IV 42 consid. 2a; ATF 117 la 135 consid. 2a; Perrier, in : Kuhn/ Jeanneret [éd.], Commentaire romand, Code de procédure pénale suisse, Bâle 2011,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consid. 2.1).</w:t>
      </w:r>
    </w:p>
    <w:p>
      <w:r>
        <w:rPr>
          <w:b/>
        </w:rPr>
        <w:t>E. 2.2</w:t>
      </w:r>
    </w:p>
    <w:p>
      <w:r>
        <w:t>L’art. 183 CP, classé parmi les crimes et les délits contre la liberté, protège la liberté de mouvement, à savoir la possibilité de chacun de décider du lieu où il veut se rendre et d’exécuter librement cette décision (Dupuis et alii, Petit Commentaire du Code pénal, Bâle 2012, n. 2 ad 183 CP, p. 1099, et les réf. cit.). Le bien juridique protégé par l’art. 219 CP est le développement physique et psychique du mineur, soit d’une personne âgée de moins de 18 ans (Dupuis et alii, op. cit., n. 2 ad art. 219 CP, p. 1245 ; ATF 126 IV 136 consid. 1b). E.________ n’a ainsi pas été elle-même lésée par les infractions en question. Elle n’a donc pas personnellement un intérêt juridiquement protégé au recours au sens défini par la jurisprudence (CREP 14 septembre 2015/600, consid. 2.2 et les réf. cit.).</w:t>
      </w:r>
    </w:p>
    <w:p>
      <w:r>
        <w:rPr>
          <w:b/>
        </w:rPr>
        <w:t>E. 2.3</w:t>
      </w:r>
    </w:p>
    <w:p>
      <w:r>
        <w:t>L’art. 117 al. 3 CPP prévoit toutefois que lorsque les proches de la victime se portent parties civiles contre les prévenus, ils jouissent des mêmes droits que la victime. Le proche de la victime est défini à l'art.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Machen die Angehörigen des Opfers Zivilansprüche geltend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consid. 2.2). En l’espèce, le fils de E.________ est une victime présumée au sens de l’art. 116 al. 1 CPP, de sorte que la recourante est une proche selon l’art. 116 al. 2 CPP. Cependant, la prénommée n’a pas pris de conclusions civiles propres dans la procédure pénale en cours. N’ayant pas personnellement la qualité de partie plaignante, elle ne saurait fonder sa qualité pour recourir sur ce statut particulier.</w:t>
      </w:r>
    </w:p>
    <w:p>
      <w:r>
        <w:rPr>
          <w:b/>
        </w:rPr>
        <w:t>E. 2.4</w:t>
      </w:r>
    </w:p>
    <w:p>
      <w:r>
        <w:t>Il reste à déterminer si la recourante, qui a déposé la plainte du 18 septembre 2014 en qualité de représentante légale de son fils B.F.________ (P. 4/1), pouvait recourir à ce titre. Tel semble être le cas a priori, dès lors qu’il ressort du dossier que l’intéressée est toujours titulaire de l’autorité parentale (cf. P. 46/2). L’art. 306 al. 3 CC prévoit toutefois que l’existence d’un conflit d’intérêts entraîne de plein droit la fin des pouvoirs des père et mère pour l’affaire en cause. L’existence d’un conflit d’intérêts s’examine de manière abstraite (Schwenzer/Cottier, in : Honsell, Vogt, Geiser [éd.], Basler Kommentar, Zivilgesetzbuch I, 5 e éd., Bâle 2014, n. 4 ad art. 306 CC, p. 1690, et les réf. cit.). En d’autres termes, une mise en danger abstraite des intérêts de l’enfant suffit. Pour une partie de la doctrine, la mère ne serait en particulier pas habilitée à représenter l’enfant dans le cadre d’une procédure pénale introduite contre le père, et cela même après le divorce (Hegnauer, Kann die Mutter das Kind im Strafverfahren gegen den Vater vertreten ?, in : ZVW/RDT 1994, pp. 152 ss, spéc. pp. 153-154). En présence d’un conflit d’intérêts, le parent concerné n’a plus le pouvoir de représenter l’enfant, même si un curateur ad litem n’a pas encore été désigné (TF 6B_707/2014 du 18 décembre 2014 consid. 1.3.2 et les réf. cit.). En l’espèce, il ressort du dossier que la recourante s’est vu retirer le droit de déterminer le lieu de résidence de l’enfant (P. 46/2, et les décisions citées). On comprend en outre, à la lecture de la décision de la Justice de paix du 19 février 2015, que le père de l’enfant a déposé le 16 septembre 2014 une requête en modification du jugement de divorce tendant à ce que l’autorité parentale sur son fils ainsi que le droit de déterminer son lieu de résidence lui soient attribués, et qu’une expertise pédopsychiatrique a été ordonnée en vue de déterminer les compétences parentales des père et mère ainsi que les modalités des relations personnelles du parent non gardien (P. 46/2, pp. 2-3). Dans ces circonstances, la recourante aurait un intérêt, pour conserver l’autorité parentale sur son fils, à obtenir la condamnation pénale du père de l’enfant. On ne peut dès lors pas exclure que les démarches de E.________ ne servent pas uniquement les intérêts de l’enfant dans la procédure pénale en cours. Force est de constater, dans ces conditions, l’existence d’un conflit d’intérêts, à tout le moins abstrait. Contrairement à ce qu’avance la recourante dans ses déterminations, la jurisprudence fédérale ne fait pas dépendre l’existence d’un conflit d’intérêts de la nature des infractions en cause ni du degré de certitude quant à leur réalisation (TF 6B_707/2014 du 18 décembre 2014). Ce qui est problématique, c’est uniquement le fait, pour un parent, de représenter l’enfant dans le cadre d’une procédure pénale dirigée contre l’autre parent. Cela est d’autant plus vrai dans le cas présent, où un procès civil est pendant entre les parents au sujet du sort de l’enfant. Enfin, on relève que le SPJ, n’ayant pas de mandat de représentation, n’aurait pas pu agir au nom de l’enfant. Une telle circonstance ne permet toutefois pas au parent qui, comme la recourante, se trouve dans une situation de conflit d’intérêts, même abstrait, de continuer à représenter son enfant dans la procédure pénale dirigée contre l’autre parent (TF 6B_707/2014 du 18 décembre 2014 consid. 1.3.2). Ainsi, on doit admettre qu’en raison d’un conflit d’intérêts, la recourante n’a désormais plus le pouvoir de représenter son enfant dans le cadre de la présente procédure ni, par conséquent, de déposer un recours en son nom (CREP 14 septembre 2015/600 consid. 2.4).</w:t>
      </w:r>
    </w:p>
    <w:p>
      <w:r>
        <w:rPr>
          <w:b/>
        </w:rPr>
        <w:t>E. 3</w:t>
      </w:r>
    </w:p>
    <w:p>
      <w:r>
        <w:t>Il résulte de ce qui précède que le recours doit être déclaré irrecevable. Les frais de la procédure de recours, constitués en l’espèce du seul émolument d'arrêt (art. 422 al. 1 CPP), par 770 fr. (art. 20 al. 1 TFIP [tarif des frais de procédure et indemnités en matière pénale du 28 septembre 2010 ; RSV 312.03.1]), seront mis à la charge de la recourante, qui succombe (art. 428 al. 1 CPP). Par ces motifs, la Chambre des recours pénale prononce : I. Le recours est irrecevable. II. Les frais d’arrêt, par 770 fr. (sept cent septante francs), sont mis à la charge de E.________. III. Le présent arrêt est exécutoire. Le président :               Le greffier : Du Le présent arrêt, dont la rédaction a été approuvée à huis clos, est notifié, par l'envoi d'une copie complète, à : - Me Michel Dupuis, avocat (pour E.________), - Me Annik Nicod, avocate (pour A.F.________),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