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35 vom 11. Februar 2016</w:t>
      </w:r>
    </w:p>
    <w:p>
      <w:r>
        <w:t>VD Tribunal cantonal, 2016-02-11, FR</w:t>
      </w:r>
    </w:p>
    <w:p>
      <w:r>
        <w:rPr>
          <w:b/>
        </w:rPr>
        <w:t xml:space="preserve">Quelle: </w:t>
      </w:r>
      <w:r>
        <w:t>https://mcp.opencaselaw.ch/entscheid/vd_findinfo_D_cision___2016___35</w:t>
      </w:r>
    </w:p>
    <w:p>
      <w:r>
        <w:t>FR: VD_FINDINFO Décision / 2016 / 35 du 11 février 2016</w:t>
      </w:r>
    </w:p>
    <w:p>
      <w:r>
        <w:t>IT: VD_FINDINFO Décision / 2016 / 35 del 11 febbraio 2016</w:t>
      </w:r>
    </w:p>
    <w:p>
      <w:pPr>
        <w:pStyle w:val="Heading2"/>
      </w:pPr>
      <w:r>
        <w:t>Regeste</w:t>
      </w:r>
    </w:p>
    <w:p>
      <w:r>
        <w:t>DÉNONCIATION CALOMNIEUSE, ENQUÊTE PÉNALE | 303 CP, 310 CPP (CH)</w:t>
      </w:r>
    </w:p>
    <w:p>
      <w:pPr>
        <w:pStyle w:val="Heading2"/>
      </w:pPr>
      <w:r>
        <w:t>Erwägungen</w:t>
      </w:r>
    </w:p>
    <w:p>
      <w:r>
        <w:rPr>
          <w:b/>
        </w:rPr>
        <w:t>E. 1</w:t>
      </w:r>
    </w:p>
    <w:p>
      <w:r>
        <w:t>let. a CPP), par la partie plaignante qui a qualité pour recourir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consid. 2a), ou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consid. 3.2; CREP 23 novembre 2011/517 consid.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consid. 2a).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En effet, il ne se justifie pas d’ouvrir une instruction pénale (art. 309 CPP) qui devra être close par une ordonnance de classement dans la mesure où une condamnation apparaît très vraisemblablement exclue (cf. ATF 138 IV 86 consid. 4.1.1; TF 1B_272/2011 du 22 mars 2012 consid. 3.1.1).</w:t>
      </w:r>
    </w:p>
    <w:p>
      <w:r>
        <w:rPr>
          <w:b/>
        </w:rPr>
        <w:t>E. 2.2</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 er février 2010 consid. 3.1.1). La dénonciation doit porter sur la commission d’une infraction pénale (Dupuis et alii, op. cit., n. 7 ad art. 303 CP et les réf. cit.). Sur le plan subjectif, l'auteur doit savoir que la personne qu'il dénonce est innocente. Il s'agit d'une connaissance au sens strict. Le dol éventuel ne suffit pas (Corboz, Les infractions en droit suisse, vol. II, 3 e éd., Berne 2010, n. 17 ad art. 303 CP, p. 591 ; ATF 136 IV 170 consid. 2.1, JdT 2011 IV 102), de sorte que l'auteur peut objecter n'avoir pas su le dénoncé innocent en invoquant sa bonne foi (ATF 72 IV 74 consid. 1).</w:t>
      </w:r>
    </w:p>
    <w:p>
      <w:r>
        <w:rPr>
          <w:b/>
        </w:rPr>
        <w:t>E. 2.3</w:t>
      </w:r>
    </w:p>
    <w:p>
      <w:r>
        <w:t>En l'espèce,V.________ ne mentait pas lorsque, le 11 décembre 2013, elle a soutenu avoir peur des réactions du prévenu, qu'elle voyait tantôt comme un père et tantôt comme un criminel. Elle savait que son père avait tué sa mère, qu'il avait été jugé et condamné pour cela. Le terme "criminel" qu'elle avait employé dans ce contexte n'était donc pas attentatoire à l'honneur de V.________. Cela ressort de l'ordonnance de classement rendue par le Ministère public de l'arrondissement du Nord vaudois le 10 novembre 2014, après avoir entendu les précisions données par U.________ (cf. supra, p. 2). Il semble ainsi que V.________ savait que sa fille était innocente lorsqu'elle a prononcé ces mots devant le Juge d'application des peines, mais il en a pris ombrage, tenant le qualificatif de criminel pour "déplacé" dès lors qu'il estimait avoir "payé" sa dette (cf. son recours du 9 janvier 2013 [recte : 2014] auprès de la cour de céans, où il dénonce également le fait que la justice aurait fait preuve de partialité en privilégiant la version des faits de [...] plutôt que la sienne en considérant son passé judiciaire). Sa détermination du 5 février 2016 va dans le même sens, le prévenu se référant cette fois au fait que les événements "auxquels U.________ fait sans doute allusion datent de plus de 30 ans" . C'est dans cet esprit que le prévenu paraît avoir déposé la plainte litigieuse. Au vu de ces circonstances, on ne pouvait pas d'emblée considérer que les éléments constitutifs d'u ne infraction à l'art. 303 CP ou les conditions à l'ouverture d'une action pénale n'étaient manifestement pas réunis. Les conditions de l'art. 310 al. 1 let. a CPP n'étant pas remplies, c'est à tort que le Ministère public a refusé d'entrer en matière.</w:t>
      </w:r>
    </w:p>
    <w:p>
      <w:r>
        <w:rPr>
          <w:b/>
        </w:rPr>
        <w:t>E. 3</w:t>
      </w:r>
    </w:p>
    <w:p>
      <w:r>
        <w:t>Il résulte de ce qui précède que le recours doit être admis, l'ordonnance de non-entrée en matière du 6 octobre 2015 annulée et la cause renvoyée au Ministère public de l'arrondissement du Nord vaudois pour qu'il instruise la plainte déposée le 15 juillet 2014. U.________ obtenant gain de cause, les frais de la procédure de recours, constitués en l'espèce, du seul émolument d’arrêt, par 770 fr. (art. 20 al. 1 TFIP [Tarif des frais de procédure et indemnités en matière pénale du 28 septembre 2010,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consid.</w:t>
      </w:r>
    </w:p>
    <w:p>
      <w:r>
        <w:rPr>
          <w:b/>
        </w:rPr>
        <w:t>E. 4</w:t>
      </w:r>
    </w:p>
    <w:p>
      <w:r>
        <w:t>et les références citées). Par ces motifs, la Chambre des recours pénale prononce : I. Le recours est admis. II. L'ordonnance du 6 octobre 2015 est annulée. III. Le dossier de la cause est renvoyé au Ministère public de l'arrondissement du Nord vaudois pour qu'il procède dans le sens des considérants. IV. Les frais de la procédure de recours, par 770 fr. (sept cent septante francs), sont laissés à la charge de l'Etat. V. Le présent arrêt est exécutoire. Le président :               La greffière : Du Le présent arrêt, dont la rédaction a été approuvée à huis clos, est notifié, par l'envoi d'une copie complète, à : - Me Véronique Fontana, avocate (pourU.________), - Ministère public central, et communiqué à : - Ministère public de l'arrondissement du Nord vaudois, - Me Jean Lob, avocat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