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342 vom 11. Mai 2016</w:t>
      </w:r>
    </w:p>
    <w:p>
      <w:r>
        <w:t>VD Tribunal cantonal, 2016-05-11, FR</w:t>
      </w:r>
    </w:p>
    <w:p>
      <w:r>
        <w:rPr>
          <w:b/>
        </w:rPr>
        <w:t xml:space="preserve">Quelle: </w:t>
      </w:r>
      <w:r>
        <w:t>https://mcp.opencaselaw.ch/entscheid/vd_findinfo_D_cision___2016___342</w:t>
      </w:r>
    </w:p>
    <w:p>
      <w:r>
        <w:t>FR: VD_FINDINFO Décision / 2016 / 342 du 11 mai 2016</w:t>
      </w:r>
    </w:p>
    <w:p>
      <w:r>
        <w:t>IT: VD_FINDINFO Décision / 2016 / 342 del 11 maggio 2016</w:t>
      </w:r>
    </w:p>
    <w:p>
      <w:pPr>
        <w:pStyle w:val="Heading2"/>
      </w:pPr>
      <w:r>
        <w:t>Regeste</w:t>
      </w:r>
    </w:p>
    <w:p>
      <w:r>
        <w:t>DÉCISION D'IRRECEVABILITÉ, DOMMAGE IRRÉPARABLE | 393 al. 1 let. b CPP (CH), 65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decisioni ordinatorie").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 1969; Jeanneret/Kuhn, Précis de procédure pénale, 2013, n. 19009). Il s'agit en particulier de toutes les décisions qu'exigent l'avancement et le déroulement de la procédure avant ou pendant les débats (ATF 138 IV 193 consid. 4.3.1; ATF 140 IV 202 consid. 2.1, SJ 2015 I 73).</w:t>
      </w:r>
    </w:p>
    <w:p>
      <w:r>
        <w:rPr>
          <w:b/>
        </w:rPr>
        <w:t>E. 1.2</w:t>
      </w:r>
    </w:p>
    <w:p>
      <w:r>
        <w:t>Selon la doctrine et la jurisprudence, certaines décisions relatives à la marche de la procédure prises au cours de la phase précédant les débats peuvent néanmoins faire l'objet d'un recours selon le CPP. Une partie de la doctrine propose ainsi de distinguer les décisions qui ont un caractère formel et celles qui ont un caractère matériel. Les premières visent, par exemple, à fixer la date de l'audience ou les heures d'audition de témoins, tandis que les secondes concernent, par exemple, l'admission d'une personne en qualité de partie ou le refus d'un défenseur d'office. Seules les secondes seraient susceptibles de recours cantonal immédiat, dans la mesure où elles sont susceptibles de causer un préjudice irréparable à la partie concernée. Quant à la jurisprudence, elle a précisé, s'agissant des décisions relatives à la conduite de la procédure prises avant l'ouverture des débats,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auprès du Tribunal fédéral (ATF 140 IV 202 consid. 2.1 et les références citées, SJ 2015 I p. 73).</w:t>
      </w:r>
    </w:p>
    <w:p>
      <w:r>
        <w:rPr>
          <w:b/>
        </w:rPr>
        <w:t>E. 1.3</w:t>
      </w:r>
    </w:p>
    <w:p>
      <w:r>
        <w:t>Constitue un préjudice irréparable un dommage de nature juridique qui ne puisse pas être réparé ultérieurement par un jugement final ou une autre décision favorable au recourant (TF 6B_805/2014 du 20 octobre 2014; ATF 137 IV 172 consid. 2.1; CREP 9 juin 2015/383 consid. 1.1; CREP 31 juillet 2015/513 consid. 2.1).</w:t>
      </w:r>
    </w:p>
    <w:p>
      <w:r>
        <w:rPr>
          <w:b/>
        </w:rPr>
        <w:t>E. 2</w:t>
      </w:r>
    </w:p>
    <w:p>
      <w:r>
        <w:t>En l’espèce, l’ordonnance attaquée émane du Président du tribunal correctionnel en sa qualité de direction de la procédure et concerne la marche de la procédure. Force est de constater que le maintien de l’audience du 26 juillet 2016 dans la nouvelle composition du tribunal et le refus d’écarter les déclarations et les opérations faites lors de l’audience du 23 mars 2016 ne sont pas susceptibles de causer un préjudice irréparable au recourant au sens de la jurisprudence précitée. En effet, celui-ci pourra notamment reformuler ses griefs par la voie de l’appel contre le jugement au fond, conformément aux art. 398 ss CPP. Dans la mesure où la juridiction d'appel jouit d'un plein pouvoir d'examen sur tous les points attaqués du jugement (art. 398 al. 2 CPP), c’est à elle qu’il appartiendra d’examiner de tels griefs et d’annuler le cas échéant le jugement, en renvoyant la cause au tribunal correctionnel conformément à l’art. 409 CPP. Partant, l’ordonnance du 18 avril 2016 ne peut pas être attaquée par la voie du recours.</w:t>
      </w:r>
    </w:p>
    <w:p>
      <w:r>
        <w:rPr>
          <w:b/>
        </w:rPr>
        <w:t>E. 3</w:t>
      </w:r>
    </w:p>
    <w:p>
      <w:r>
        <w:t>En définitive, le recours doit être déclaré irrecevable sans autres échanges d’écritures (art. 390 al. 2 CPP). A cet égard, le fait que l’ordonnance mentionne une voie de droit importe peu, puisque la jurisprudence a rappelé que l'indication erronée de voies de droit ne suffisait pas pour créer une voie de droit inexistante (ATF 117 Ia 297 consid. 2; TF 2P.51/2007 du 4 juillet 2007 consid. 5.1 et les références citées; CREP 24 novembre 2015/756 ; CREP 4 mars 2014/168). Les frais de la procédure de recours, constitués en l’espèce de l’émolument d'arrêt, par 660 fr. (art. 20 al. 1 TFIP [Tarif des frais de procédure et indemnités en matière pénale; RSV 312.03.1]), et des frais imputables à la défense d’office (art. 422 al. 1 et 2 let. a CPP), fixés à 540 fr., plus la TVA par 43 fr. 20, soit au total 583 fr. 20, seront mis à la charge du recourant qui succombe (art. 428 al. 1 CPP), la jurisprudence relative au préjudice irréparable étant connue et publiée. Le remboursement à l’Etat de l’indemnité allouée au défenseur d’office de L.________ ne sera toutefois exigible que pour autant que la situation économique de ce dernier se soit améliorée (art. 135 al. 4 CPP). Par ces motifs, la Chambre des recours pénale prononce : I. Le recours est irrecevable. II. L’indemnité allouée au défenseur d'office de L.________ est fixée à 583 fr. 20 (cinq cent huitante-trois francs et vingt centimes). III. Les frais d’arrêt, par 660 fr. (six cent soixante francs), ainsi que l’indemnité du défenseur d'office de L.________ par 583 fr. 20 (cinq cent huitante-trois francs et vingt centimes), sont mis à la charge de ce dernier. IV. Le remboursement à l'Etat de l'indemnité allouée au chiffre II ci-dessus sera exigible pour autant que la situation économique de L.________ se soit améliorée. V. L’arrêt est exécutoire. Le président :               La greffière : Du Le présent arrêt, dont la rédaction a été approuvée à huis clos, est notifié, par l'envoi d'une copie complète, à : - Me Inès Feldmann, avocate (pour L.________), - Me Yvan Jeanneret, avocat (pour [...]), - Ministère public central, et communiqué à : - M. le Président du Tribunal correctionnel de l’arrondissement de La Côte,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